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p w:rsidR="00922754" w:rsidRDefault="00922754" w:rsidP="00922754">
      <w:pPr>
        <w:spacing w:after="120"/>
        <w:rPr>
          <w:b/>
          <w:bCs/>
          <w:sz w:val="26"/>
          <w:szCs w:val="26"/>
        </w:rPr>
      </w:pPr>
      <w:r>
        <w:rPr>
          <w:b/>
          <w:bCs/>
          <w:sz w:val="26"/>
          <w:szCs w:val="26"/>
          <w:rtl/>
        </w:rPr>
        <w:t>בפני כב' השופט חננאל שרעבי</w:t>
      </w: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t xml:space="preserve">                               </w:t>
      </w:r>
    </w:p>
    <w:p w:rsidR="00922754" w:rsidRDefault="00922754" w:rsidP="00922754">
      <w:pPr>
        <w:spacing w:after="120"/>
        <w:rPr>
          <w:b/>
          <w:bCs/>
          <w:sz w:val="26"/>
          <w:szCs w:val="26"/>
          <w:rtl/>
        </w:rPr>
      </w:pPr>
    </w:p>
    <w:p w:rsidR="00922754" w:rsidRDefault="00922754" w:rsidP="00922754">
      <w:pPr>
        <w:spacing w:after="120"/>
        <w:rPr>
          <w:b/>
          <w:bCs/>
          <w:sz w:val="26"/>
          <w:szCs w:val="26"/>
          <w:rtl/>
        </w:rPr>
      </w:pPr>
    </w:p>
    <w:p w:rsidR="00922754" w:rsidRDefault="002E5C0A" w:rsidP="002E5C0A">
      <w:pPr>
        <w:spacing w:after="120"/>
        <w:rPr>
          <w:b/>
          <w:bCs/>
          <w:sz w:val="26"/>
          <w:szCs w:val="26"/>
          <w:rtl/>
        </w:rPr>
      </w:pPr>
      <w:r>
        <w:rPr>
          <w:b/>
          <w:bCs/>
          <w:sz w:val="26"/>
          <w:szCs w:val="26"/>
          <w:rtl/>
        </w:rPr>
        <w:t>המבקש</w:t>
      </w:r>
      <w:r>
        <w:rPr>
          <w:b/>
          <w:bCs/>
          <w:sz w:val="26"/>
          <w:szCs w:val="26"/>
          <w:rtl/>
        </w:rPr>
        <w:tab/>
      </w:r>
      <w:r>
        <w:rPr>
          <w:b/>
          <w:bCs/>
          <w:sz w:val="26"/>
          <w:szCs w:val="26"/>
          <w:rtl/>
        </w:rPr>
        <w:tab/>
      </w:r>
      <w:r>
        <w:rPr>
          <w:b/>
          <w:bCs/>
          <w:sz w:val="26"/>
          <w:szCs w:val="26"/>
          <w:rtl/>
        </w:rPr>
        <w:tab/>
        <w:t>י</w:t>
      </w:r>
      <w:r>
        <w:rPr>
          <w:rFonts w:hint="cs"/>
          <w:b/>
          <w:bCs/>
          <w:sz w:val="26"/>
          <w:szCs w:val="26"/>
          <w:rtl/>
        </w:rPr>
        <w:t>. מ.</w:t>
      </w:r>
    </w:p>
    <w:p w:rsidR="00922754" w:rsidRDefault="00922754" w:rsidP="00922754">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t>ע"י ב"כ עו"ד ליאור קיבריק</w:t>
      </w:r>
    </w:p>
    <w:p w:rsidR="00922754" w:rsidRDefault="00922754" w:rsidP="00922754">
      <w:pPr>
        <w:spacing w:after="120"/>
        <w:rPr>
          <w:b/>
          <w:bCs/>
          <w:sz w:val="26"/>
          <w:szCs w:val="26"/>
          <w:rtl/>
        </w:rPr>
      </w:pPr>
    </w:p>
    <w:p w:rsidR="00922754" w:rsidRDefault="00922754" w:rsidP="00922754">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t xml:space="preserve">       נגד</w:t>
      </w:r>
    </w:p>
    <w:p w:rsidR="00922754" w:rsidRDefault="00922754" w:rsidP="00922754">
      <w:pPr>
        <w:spacing w:after="120"/>
        <w:rPr>
          <w:b/>
          <w:bCs/>
          <w:sz w:val="26"/>
          <w:szCs w:val="26"/>
          <w:rtl/>
        </w:rPr>
      </w:pPr>
    </w:p>
    <w:p w:rsidR="00922754" w:rsidRDefault="00922754" w:rsidP="002E5C0A">
      <w:pPr>
        <w:spacing w:after="120"/>
        <w:rPr>
          <w:b/>
          <w:bCs/>
          <w:sz w:val="26"/>
          <w:szCs w:val="26"/>
          <w:rtl/>
        </w:rPr>
      </w:pPr>
      <w:r>
        <w:rPr>
          <w:b/>
          <w:bCs/>
          <w:sz w:val="26"/>
          <w:szCs w:val="26"/>
          <w:rtl/>
        </w:rPr>
        <w:t>המשיב</w:t>
      </w:r>
      <w:r>
        <w:rPr>
          <w:b/>
          <w:bCs/>
          <w:sz w:val="26"/>
          <w:szCs w:val="26"/>
          <w:rtl/>
        </w:rPr>
        <w:tab/>
      </w:r>
      <w:r>
        <w:rPr>
          <w:b/>
          <w:bCs/>
          <w:sz w:val="26"/>
          <w:szCs w:val="26"/>
          <w:rtl/>
        </w:rPr>
        <w:tab/>
      </w:r>
      <w:r>
        <w:rPr>
          <w:b/>
          <w:bCs/>
          <w:sz w:val="26"/>
          <w:szCs w:val="26"/>
          <w:rtl/>
        </w:rPr>
        <w:tab/>
      </w:r>
      <w:r>
        <w:rPr>
          <w:b/>
          <w:bCs/>
          <w:sz w:val="26"/>
          <w:szCs w:val="26"/>
          <w:rtl/>
        </w:rPr>
        <w:tab/>
      </w:r>
      <w:r w:rsidR="002E5C0A">
        <w:rPr>
          <w:rFonts w:hint="cs"/>
          <w:b/>
          <w:bCs/>
          <w:sz w:val="26"/>
          <w:szCs w:val="26"/>
          <w:rtl/>
        </w:rPr>
        <w:t>א. מ. ח. מ</w:t>
      </w:r>
    </w:p>
    <w:p w:rsidR="00922754" w:rsidRDefault="00922754" w:rsidP="00922754">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t>ע"י ב"כ עו"ד מאיה הר ציון</w:t>
      </w:r>
    </w:p>
    <w:p w:rsidR="00922754" w:rsidRDefault="00922754" w:rsidP="00922754">
      <w:pPr>
        <w:spacing w:after="120"/>
        <w:rPr>
          <w:b/>
          <w:bCs/>
          <w:sz w:val="26"/>
          <w:szCs w:val="26"/>
          <w:rtl/>
        </w:rPr>
      </w:pPr>
    </w:p>
    <w:p w:rsidR="00922754" w:rsidRDefault="00922754" w:rsidP="00922754">
      <w:pPr>
        <w:rPr>
          <w:rtl/>
        </w:rPr>
      </w:pPr>
    </w:p>
    <w:p w:rsidR="00922754" w:rsidRDefault="00922754" w:rsidP="00922754">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22754" w:rsidTr="00922754">
        <w:trPr>
          <w:jc w:val="center"/>
        </w:trPr>
        <w:tc>
          <w:tcPr>
            <w:tcW w:w="8820" w:type="dxa"/>
          </w:tcPr>
          <w:p w:rsidR="00922754" w:rsidRDefault="00922754">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922754" w:rsidRDefault="00922754">
            <w:pPr>
              <w:bidi w:val="0"/>
              <w:jc w:val="center"/>
              <w:rPr>
                <w:rFonts w:ascii="Arial" w:hAnsi="Arial"/>
                <w:b/>
                <w:bCs/>
                <w:noProof w:val="0"/>
                <w:sz w:val="28"/>
                <w:szCs w:val="28"/>
                <w:u w:val="single"/>
              </w:rPr>
            </w:pPr>
          </w:p>
        </w:tc>
      </w:tr>
    </w:tbl>
    <w:p w:rsidR="00922754" w:rsidRDefault="00922754" w:rsidP="00922754">
      <w:pPr>
        <w:spacing w:after="120" w:line="360" w:lineRule="auto"/>
        <w:ind w:left="720" w:hanging="720"/>
        <w:jc w:val="both"/>
        <w:rPr>
          <w:rFonts w:ascii="Arial" w:hAnsi="Arial"/>
          <w:noProof w:val="0"/>
          <w:rtl/>
        </w:rPr>
      </w:pPr>
      <w:r>
        <w:rPr>
          <w:rFonts w:ascii="Arial" w:hAnsi="Arial"/>
          <w:noProof w:val="0"/>
          <w:rtl/>
        </w:rPr>
        <w:t>1.</w:t>
      </w:r>
      <w:r>
        <w:rPr>
          <w:rFonts w:ascii="Arial" w:hAnsi="Arial"/>
          <w:noProof w:val="0"/>
          <w:rtl/>
        </w:rPr>
        <w:tab/>
        <w:t>עסקינן בבקשת רשות ערעור על החלטת בית המשפט לענייני משפחה בחדרה (כב' השופטת הדס גולדקורן) בתיק תמ"ש 13810-10-23 מיום 2.4.24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בהתאמה) במסגרתה נדחתה בקשת המבקש לצירוף צד נדרש לכאורה בהליך קמא, והכל כפי שיפורט להלן.</w:t>
      </w:r>
    </w:p>
    <w:p w:rsidR="00922754" w:rsidRDefault="00922754" w:rsidP="00922754">
      <w:pPr>
        <w:spacing w:after="120" w:line="360" w:lineRule="auto"/>
        <w:ind w:left="720" w:hanging="720"/>
      </w:pPr>
    </w:p>
    <w:p w:rsidR="00922754" w:rsidRDefault="00922754" w:rsidP="00922754">
      <w:pPr>
        <w:spacing w:after="120" w:line="360" w:lineRule="auto"/>
        <w:ind w:left="720" w:hanging="720"/>
        <w:jc w:val="both"/>
        <w:rPr>
          <w:rFonts w:ascii="Arial" w:hAnsi="Arial"/>
          <w:noProof w:val="0"/>
          <w:rtl/>
        </w:rPr>
      </w:pPr>
      <w:r>
        <w:rPr>
          <w:rFonts w:ascii="David" w:hAnsi="David"/>
          <w:b/>
          <w:bCs/>
          <w:noProof w:val="0"/>
          <w:u w:val="single"/>
          <w:rtl/>
        </w:rPr>
        <w:t>רקע וההחלטה קמא</w:t>
      </w:r>
    </w:p>
    <w:p w:rsidR="00922754" w:rsidRDefault="00922754" w:rsidP="002E5C0A">
      <w:pPr>
        <w:spacing w:after="120"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המשיב, התובע בתיק קמא, </w:t>
      </w:r>
      <w:r w:rsidR="002E5C0A">
        <w:rPr>
          <w:rFonts w:asciiTheme="minorHAnsi" w:hAnsiTheme="minorHAnsi"/>
          <w:noProof w:val="0"/>
          <w:rtl/>
        </w:rPr>
        <w:t xml:space="preserve"> מצוי בהליכי גירושין מגב' ט</w:t>
      </w:r>
      <w:r w:rsidR="002E5C0A">
        <w:rPr>
          <w:rFonts w:asciiTheme="minorHAnsi" w:hAnsiTheme="minorHAnsi" w:hint="cs"/>
          <w:noProof w:val="0"/>
          <w:rtl/>
        </w:rPr>
        <w:t xml:space="preserve">. מ </w:t>
      </w:r>
      <w:r>
        <w:rPr>
          <w:rFonts w:asciiTheme="minorHAnsi" w:hAnsiTheme="minorHAnsi"/>
          <w:noProof w:val="0"/>
          <w:rtl/>
        </w:rPr>
        <w:t>(להלן: "</w:t>
      </w:r>
      <w:r w:rsidR="002E5C0A">
        <w:rPr>
          <w:rFonts w:asciiTheme="minorHAnsi" w:hAnsiTheme="minorHAnsi"/>
          <w:b/>
          <w:bCs/>
          <w:noProof w:val="0"/>
          <w:rtl/>
        </w:rPr>
        <w:t>ט</w:t>
      </w:r>
      <w:r w:rsidR="002E5C0A">
        <w:rPr>
          <w:rFonts w:asciiTheme="minorHAnsi" w:hAnsiTheme="minorHAnsi" w:hint="cs"/>
          <w:b/>
          <w:bCs/>
          <w:noProof w:val="0"/>
          <w:rtl/>
        </w:rPr>
        <w:t>'</w:t>
      </w:r>
      <w:r>
        <w:rPr>
          <w:rFonts w:asciiTheme="minorHAnsi" w:hAnsiTheme="minorHAnsi"/>
          <w:noProof w:val="0"/>
          <w:rtl/>
        </w:rPr>
        <w:t>")</w:t>
      </w:r>
      <w:r w:rsidR="002E5C0A">
        <w:rPr>
          <w:rFonts w:ascii="Arial" w:hAnsi="Arial"/>
          <w:noProof w:val="0"/>
          <w:rtl/>
        </w:rPr>
        <w:t>. ט</w:t>
      </w:r>
      <w:r w:rsidR="002E5C0A">
        <w:rPr>
          <w:rFonts w:ascii="Arial" w:hAnsi="Arial" w:hint="cs"/>
          <w:noProof w:val="0"/>
          <w:rtl/>
        </w:rPr>
        <w:t>'</w:t>
      </w:r>
      <w:r>
        <w:rPr>
          <w:rFonts w:ascii="Arial" w:hAnsi="Arial"/>
          <w:noProof w:val="0"/>
          <w:rtl/>
        </w:rPr>
        <w:t xml:space="preserve"> היא אחותו של המבקש (הנתבע בתיק קמא). במסגר</w:t>
      </w:r>
      <w:r w:rsidR="002E5C0A">
        <w:rPr>
          <w:rFonts w:ascii="Arial" w:hAnsi="Arial"/>
          <w:noProof w:val="0"/>
          <w:rtl/>
        </w:rPr>
        <w:t>ת הליכי הגירושין בין המשיב לט</w:t>
      </w:r>
      <w:r w:rsidR="002E5C0A">
        <w:rPr>
          <w:rFonts w:ascii="Arial" w:hAnsi="Arial" w:hint="cs"/>
          <w:noProof w:val="0"/>
          <w:rtl/>
        </w:rPr>
        <w:t>'</w:t>
      </w:r>
      <w:r>
        <w:rPr>
          <w:rFonts w:ascii="Arial" w:hAnsi="Arial"/>
          <w:noProof w:val="0"/>
          <w:rtl/>
        </w:rPr>
        <w:t>, הוגשו מספר תובענות בבית משפט קמא.</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בין הצדדים קמה מחלוקת באשר לעובדות התיק קמא. </w:t>
      </w:r>
    </w:p>
    <w:p w:rsidR="00922754" w:rsidRDefault="00922754" w:rsidP="002E5C0A">
      <w:pPr>
        <w:spacing w:after="120"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כנטען בבקשת רשות הערעור דנן</w:t>
      </w:r>
      <w:r>
        <w:rPr>
          <w:rFonts w:ascii="Arial" w:hAnsi="Arial"/>
          <w:noProof w:val="0"/>
          <w:rtl/>
        </w:rPr>
        <w:t xml:space="preserve">, בשנים 2019-2021 העבירה </w:t>
      </w:r>
      <w:r w:rsidR="002E5C0A">
        <w:rPr>
          <w:rFonts w:ascii="Arial" w:hAnsi="Arial" w:hint="cs"/>
          <w:noProof w:val="0"/>
          <w:rtl/>
        </w:rPr>
        <w:t>ט'</w:t>
      </w:r>
      <w:r>
        <w:rPr>
          <w:rFonts w:ascii="Arial" w:hAnsi="Arial"/>
          <w:noProof w:val="0"/>
          <w:rtl/>
        </w:rPr>
        <w:t xml:space="preserve"> לאחיה המבקש, סך של 231,000 ₪, בתשלומים עתיים מדי חודש (להלן: "</w:t>
      </w:r>
      <w:r>
        <w:rPr>
          <w:rFonts w:ascii="Arial" w:hAnsi="Arial"/>
          <w:b/>
          <w:bCs/>
          <w:noProof w:val="0"/>
          <w:rtl/>
        </w:rPr>
        <w:t>ההלוואה</w:t>
      </w:r>
      <w:r>
        <w:rPr>
          <w:rFonts w:ascii="Arial" w:hAnsi="Arial"/>
          <w:noProof w:val="0"/>
          <w:rtl/>
        </w:rPr>
        <w:t xml:space="preserve">"). תנאי ההלוואה ופרטיה סוכמו בין המבקש </w:t>
      </w:r>
      <w:r w:rsidR="002E5C0A">
        <w:rPr>
          <w:rFonts w:ascii="Arial" w:hAnsi="Arial" w:hint="cs"/>
          <w:noProof w:val="0"/>
          <w:rtl/>
        </w:rPr>
        <w:t>לט'</w:t>
      </w:r>
      <w:r>
        <w:rPr>
          <w:rFonts w:ascii="Arial" w:hAnsi="Arial"/>
          <w:noProof w:val="0"/>
          <w:rtl/>
        </w:rPr>
        <w:t xml:space="preserve">, ללא מעורבות המשיב. </w:t>
      </w:r>
    </w:p>
    <w:p w:rsidR="00922754" w:rsidRDefault="00922754" w:rsidP="002E5C0A">
      <w:pPr>
        <w:spacing w:after="120"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עוד נטען בכתב רשות הערעור, כי לאחר פרוץ הסכסוך בין </w:t>
      </w:r>
      <w:r w:rsidR="002E5C0A">
        <w:rPr>
          <w:rFonts w:ascii="Arial" w:hAnsi="Arial" w:hint="cs"/>
          <w:noProof w:val="0"/>
          <w:rtl/>
        </w:rPr>
        <w:t>ט'</w:t>
      </w:r>
      <w:r>
        <w:rPr>
          <w:rFonts w:ascii="Arial" w:hAnsi="Arial"/>
          <w:noProof w:val="0"/>
          <w:rtl/>
        </w:rPr>
        <w:t xml:space="preserve"> למשיב, הגיש המשיב ביום 8.10.2023 את התובענה קמא נגד המבקש (בלבד), להשבה כספית של ההלוואה בסכום קצוב בסך 231,000</w:t>
      </w:r>
      <w:r w:rsidR="002E5C0A">
        <w:rPr>
          <w:rFonts w:ascii="Arial" w:hAnsi="Arial"/>
          <w:noProof w:val="0"/>
          <w:rtl/>
        </w:rPr>
        <w:t xml:space="preserve"> ₪. בנסיבות אלה, פנה המבקש לט</w:t>
      </w:r>
      <w:r w:rsidR="002E5C0A">
        <w:rPr>
          <w:rFonts w:ascii="Arial" w:hAnsi="Arial" w:hint="cs"/>
          <w:noProof w:val="0"/>
          <w:rtl/>
        </w:rPr>
        <w:t>'</w:t>
      </w:r>
      <w:r>
        <w:rPr>
          <w:rFonts w:ascii="Arial" w:hAnsi="Arial"/>
          <w:noProof w:val="0"/>
          <w:rtl/>
        </w:rPr>
        <w:t xml:space="preserve"> אחותו בכתב, לדעת האם דורשת קיום חלק מהחוב, ונענה כי יש לפרוע מחצית מיתרת החוב מולה, וכי אין להעביר למשיב כספים השייכים לה.</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עוד נטען, שבכתב התביעה קמא ביקש המשיב כי אגב התביעה להשבת ההלוואה, יקבע בית משפט קמא כי הכספים שהעבירה </w:t>
      </w:r>
      <w:r w:rsidR="00034D9A">
        <w:rPr>
          <w:rFonts w:ascii="Arial" w:hAnsi="Arial" w:hint="cs"/>
          <w:noProof w:val="0"/>
          <w:rtl/>
        </w:rPr>
        <w:t>ט'</w:t>
      </w:r>
      <w:r>
        <w:rPr>
          <w:rFonts w:ascii="Arial" w:hAnsi="Arial"/>
          <w:noProof w:val="0"/>
          <w:rtl/>
        </w:rPr>
        <w:t xml:space="preserve"> למבקש, הם כספים נפרדים של המשיב, בהתאם להסכם ממון שחתם מול </w:t>
      </w:r>
      <w:r w:rsidR="00034D9A">
        <w:rPr>
          <w:rFonts w:ascii="Arial" w:hAnsi="Arial" w:hint="cs"/>
          <w:noProof w:val="0"/>
          <w:rtl/>
        </w:rPr>
        <w:t>ט'</w:t>
      </w:r>
      <w:r>
        <w:rPr>
          <w:rFonts w:ascii="Arial" w:hAnsi="Arial"/>
          <w:noProof w:val="0"/>
          <w:rtl/>
        </w:rPr>
        <w:t>.</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ביום 8.2.2024 הגיש המבקש כאן, בקשה בתיק קמא לצירוף </w:t>
      </w:r>
      <w:r w:rsidR="00034D9A">
        <w:rPr>
          <w:rFonts w:ascii="Arial" w:hAnsi="Arial" w:hint="cs"/>
          <w:noProof w:val="0"/>
          <w:rtl/>
        </w:rPr>
        <w:t>ט'</w:t>
      </w:r>
      <w:r>
        <w:rPr>
          <w:rFonts w:ascii="Arial" w:hAnsi="Arial"/>
          <w:noProof w:val="0"/>
          <w:rtl/>
        </w:rPr>
        <w:t xml:space="preserve"> כצד לתובענה קמא, כתובעת או כנתבעת. בבקשתו נימק המבקש, כי </w:t>
      </w:r>
      <w:r w:rsidR="00034D9A">
        <w:rPr>
          <w:rFonts w:ascii="Arial" w:hAnsi="Arial" w:hint="cs"/>
          <w:noProof w:val="0"/>
          <w:rtl/>
        </w:rPr>
        <w:t>ט'</w:t>
      </w:r>
      <w:r>
        <w:rPr>
          <w:rFonts w:ascii="Arial" w:hAnsi="Arial"/>
          <w:noProof w:val="0"/>
          <w:rtl/>
        </w:rPr>
        <w:t xml:space="preserve"> היא צד נדרש אשר בלעדיו לא ניתן יהיה לברר התובענה קמא; הן </w:t>
      </w:r>
      <w:r w:rsidR="00034D9A">
        <w:rPr>
          <w:rFonts w:ascii="Arial" w:hAnsi="Arial" w:hint="cs"/>
          <w:noProof w:val="0"/>
          <w:rtl/>
        </w:rPr>
        <w:t>ט'</w:t>
      </w:r>
      <w:r>
        <w:rPr>
          <w:rFonts w:ascii="Arial" w:hAnsi="Arial"/>
          <w:noProof w:val="0"/>
          <w:rtl/>
        </w:rPr>
        <w:t xml:space="preserve"> והן המשיב דורשים מהמבקש, כל אחד בנפרד, כי ההלוואה תושב לידיו, והמבקש נקלע לסכסוך הגירושין בין </w:t>
      </w:r>
      <w:r w:rsidR="00034D9A">
        <w:rPr>
          <w:rFonts w:ascii="Arial" w:hAnsi="Arial" w:hint="cs"/>
          <w:noProof w:val="0"/>
          <w:rtl/>
        </w:rPr>
        <w:t>ט'</w:t>
      </w:r>
      <w:r>
        <w:rPr>
          <w:rFonts w:ascii="Arial" w:hAnsi="Arial"/>
          <w:noProof w:val="0"/>
          <w:rtl/>
        </w:rPr>
        <w:t xml:space="preserve"> למשיב.</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ab/>
        <w:t xml:space="preserve">עוד פירט המבקש בבקשתו קמא, כי זכויותיה של </w:t>
      </w:r>
      <w:r w:rsidR="00034D9A">
        <w:rPr>
          <w:rFonts w:ascii="Arial" w:hAnsi="Arial" w:hint="cs"/>
          <w:noProof w:val="0"/>
          <w:rtl/>
        </w:rPr>
        <w:t>ט'</w:t>
      </w:r>
      <w:r>
        <w:rPr>
          <w:rFonts w:ascii="Arial" w:hAnsi="Arial"/>
          <w:noProof w:val="0"/>
          <w:rtl/>
        </w:rPr>
        <w:t xml:space="preserve"> עלולות להיפגע מהכרעה בתובענה דנן מבלי שקולה יישמע, וכן כי המבקש עלול להיתבע שוב, בגין אותה הלוואה, על ידי </w:t>
      </w:r>
      <w:r w:rsidR="00034D9A">
        <w:rPr>
          <w:rFonts w:ascii="Arial" w:hAnsi="Arial" w:hint="cs"/>
          <w:noProof w:val="0"/>
          <w:rtl/>
        </w:rPr>
        <w:t>ט'</w:t>
      </w:r>
      <w:r>
        <w:rPr>
          <w:rFonts w:ascii="Arial" w:hAnsi="Arial"/>
          <w:noProof w:val="0"/>
          <w:rtl/>
        </w:rPr>
        <w:t>; המבקש מבכר להימנע מניהול תובענות כפולות, היעדר יעילות והכרעות סותרות.</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בתגובתו לבקשה האמורה מיום 14.3.2024, התנגד המשיב לצירופה של </w:t>
      </w:r>
      <w:r w:rsidR="00034D9A">
        <w:rPr>
          <w:rFonts w:ascii="Arial" w:hAnsi="Arial" w:hint="cs"/>
          <w:noProof w:val="0"/>
          <w:rtl/>
        </w:rPr>
        <w:t>ט'</w:t>
      </w:r>
      <w:r>
        <w:rPr>
          <w:rFonts w:ascii="Arial" w:hAnsi="Arial"/>
          <w:noProof w:val="0"/>
          <w:rtl/>
        </w:rPr>
        <w:t xml:space="preserve"> לתובענה קמ</w:t>
      </w:r>
      <w:r w:rsidR="00034D9A">
        <w:rPr>
          <w:rFonts w:ascii="Arial" w:hAnsi="Arial"/>
          <w:noProof w:val="0"/>
          <w:rtl/>
        </w:rPr>
        <w:t>א. המשיב טען כי אין כל צורך בט</w:t>
      </w:r>
      <w:r w:rsidR="00034D9A">
        <w:rPr>
          <w:rFonts w:ascii="Arial" w:hAnsi="Arial" w:hint="cs"/>
          <w:noProof w:val="0"/>
          <w:rtl/>
        </w:rPr>
        <w:t>'</w:t>
      </w:r>
      <w:r>
        <w:rPr>
          <w:rFonts w:ascii="Arial" w:hAnsi="Arial"/>
          <w:noProof w:val="0"/>
          <w:rtl/>
        </w:rPr>
        <w:t xml:space="preserve"> לבירור התובענה קמא, וכי זכויותיה לא ייפ</w:t>
      </w:r>
      <w:r w:rsidR="00034D9A">
        <w:rPr>
          <w:rFonts w:ascii="Arial" w:hAnsi="Arial"/>
          <w:noProof w:val="0"/>
          <w:rtl/>
        </w:rPr>
        <w:t>געו. לטענת המשיב, צירופה של ט</w:t>
      </w:r>
      <w:r w:rsidR="00034D9A">
        <w:rPr>
          <w:rFonts w:ascii="Arial" w:hAnsi="Arial" w:hint="cs"/>
          <w:noProof w:val="0"/>
          <w:rtl/>
        </w:rPr>
        <w:t>'</w:t>
      </w:r>
      <w:r>
        <w:rPr>
          <w:rFonts w:ascii="Arial" w:hAnsi="Arial"/>
          <w:noProof w:val="0"/>
          <w:rtl/>
        </w:rPr>
        <w:t xml:space="preserve"> לתיק קמ</w:t>
      </w:r>
      <w:r w:rsidR="00034D9A">
        <w:rPr>
          <w:rFonts w:ascii="Arial" w:hAnsi="Arial"/>
          <w:noProof w:val="0"/>
          <w:rtl/>
        </w:rPr>
        <w:t>א "טרם הבשיל", מאחר שהמשיב וט</w:t>
      </w:r>
      <w:r w:rsidR="00034D9A">
        <w:rPr>
          <w:rFonts w:ascii="Arial" w:hAnsi="Arial" w:hint="cs"/>
          <w:noProof w:val="0"/>
          <w:rtl/>
        </w:rPr>
        <w:t>'</w:t>
      </w:r>
      <w:r>
        <w:rPr>
          <w:rFonts w:ascii="Arial" w:hAnsi="Arial"/>
          <w:noProof w:val="0"/>
          <w:rtl/>
        </w:rPr>
        <w:t xml:space="preserve"> מנהלים הליך רכושי בפני בית משפט קמא, בין היתר לבירור תוקפו של הסכם הממון ביניהם והפרדה רכושית נטענת. אלא שבירור </w:t>
      </w:r>
      <w:r w:rsidR="00034D9A">
        <w:rPr>
          <w:rFonts w:ascii="Arial" w:hAnsi="Arial"/>
          <w:noProof w:val="0"/>
          <w:rtl/>
        </w:rPr>
        <w:t>היקף רכושם המשותף של המשיב וט</w:t>
      </w:r>
      <w:r w:rsidR="00034D9A">
        <w:rPr>
          <w:rFonts w:ascii="Arial" w:hAnsi="Arial" w:hint="cs"/>
          <w:noProof w:val="0"/>
          <w:rtl/>
        </w:rPr>
        <w:t>'</w:t>
      </w:r>
      <w:r>
        <w:rPr>
          <w:rFonts w:ascii="Arial" w:hAnsi="Arial"/>
          <w:noProof w:val="0"/>
          <w:rtl/>
        </w:rPr>
        <w:t>, אל מול רכושם הנפרד מכח הסכם הממון, טרם החל להתברר.</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 xml:space="preserve">עוד לטענת המשיב, ההלוואה למבקש נעשתה </w:t>
      </w:r>
      <w:r w:rsidR="00034D9A">
        <w:rPr>
          <w:rFonts w:ascii="Arial" w:hAnsi="Arial"/>
          <w:noProof w:val="0"/>
          <w:rtl/>
        </w:rPr>
        <w:t>מכספיו הפרטיים של המשיב, ולט</w:t>
      </w:r>
      <w:r w:rsidR="00034D9A">
        <w:rPr>
          <w:rFonts w:ascii="Arial" w:hAnsi="Arial" w:hint="cs"/>
          <w:noProof w:val="0"/>
          <w:rtl/>
        </w:rPr>
        <w:t xml:space="preserve">' </w:t>
      </w:r>
      <w:r w:rsidR="00034D9A">
        <w:rPr>
          <w:rFonts w:ascii="Arial" w:hAnsi="Arial"/>
          <w:noProof w:val="0"/>
          <w:rtl/>
        </w:rPr>
        <w:t>אין יד ורגל בהם. לטענת המשיב, ט</w:t>
      </w:r>
      <w:r w:rsidR="00034D9A">
        <w:rPr>
          <w:rFonts w:ascii="Arial" w:hAnsi="Arial" w:hint="cs"/>
          <w:noProof w:val="0"/>
          <w:rtl/>
        </w:rPr>
        <w:t>'</w:t>
      </w:r>
      <w:r>
        <w:rPr>
          <w:rFonts w:ascii="Arial" w:hAnsi="Arial"/>
          <w:noProof w:val="0"/>
          <w:rtl/>
        </w:rPr>
        <w:t xml:space="preserve"> ואחיה המבקש עושים יד אחת נגדו, על מנת לנשלו מכספו אגב הליך הגירושין.</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בתשובתו מיום 31.3.2024, טען המבקש כי יש לבקש את עמדתה של </w:t>
      </w:r>
      <w:r w:rsidR="00034D9A">
        <w:rPr>
          <w:rFonts w:ascii="Arial" w:hAnsi="Arial" w:hint="cs"/>
          <w:noProof w:val="0"/>
          <w:rtl/>
        </w:rPr>
        <w:t>ט'</w:t>
      </w:r>
      <w:r>
        <w:rPr>
          <w:rFonts w:ascii="Arial" w:hAnsi="Arial"/>
          <w:noProof w:val="0"/>
          <w:rtl/>
        </w:rPr>
        <w:t xml:space="preserve"> לבקשה. עוד טען, כי המשיב נמנע מלהסביר כיצד ניתן לדון בתביעה קמא ללא צירוף </w:t>
      </w:r>
      <w:r w:rsidR="00034D9A">
        <w:rPr>
          <w:rFonts w:ascii="Arial" w:hAnsi="Arial" w:hint="cs"/>
          <w:noProof w:val="0"/>
          <w:rtl/>
        </w:rPr>
        <w:t>ט'</w:t>
      </w:r>
      <w:r>
        <w:rPr>
          <w:rFonts w:ascii="Arial" w:hAnsi="Arial"/>
          <w:noProof w:val="0"/>
          <w:rtl/>
        </w:rPr>
        <w:t xml:space="preserve">, בשים לב לגרסתה כפי שהובאה בכתב, במענה לפניית המבקש. תהה המבקש, כיצד ניתן יהיה לקבוע את סיווגה של ההלוואה, כבקשת המשיב (כספים נפרדים או משותפים), ללא קבלת עמדת </w:t>
      </w:r>
      <w:r w:rsidR="00034D9A">
        <w:rPr>
          <w:rFonts w:ascii="Arial" w:hAnsi="Arial" w:hint="cs"/>
          <w:noProof w:val="0"/>
          <w:rtl/>
        </w:rPr>
        <w:t>ט'</w:t>
      </w:r>
      <w:r>
        <w:rPr>
          <w:rFonts w:ascii="Arial" w:hAnsi="Arial"/>
          <w:noProof w:val="0"/>
          <w:rtl/>
        </w:rPr>
        <w:t xml:space="preserve"> בעניין, על ידי צירופה להליך.</w:t>
      </w:r>
    </w:p>
    <w:p w:rsidR="00922754" w:rsidRDefault="00922754" w:rsidP="00922754">
      <w:pPr>
        <w:spacing w:after="120" w:line="360" w:lineRule="auto"/>
        <w:ind w:left="720" w:hanging="720"/>
        <w:jc w:val="both"/>
        <w:rPr>
          <w:rFonts w:ascii="Arial" w:hAnsi="Arial"/>
          <w:b/>
          <w:bCs/>
          <w:noProof w:val="0"/>
          <w:rtl/>
        </w:rPr>
      </w:pPr>
      <w:r>
        <w:rPr>
          <w:rFonts w:ascii="Arial" w:hAnsi="Arial"/>
          <w:noProof w:val="0"/>
          <w:rtl/>
        </w:rPr>
        <w:t>9.</w:t>
      </w:r>
      <w:r>
        <w:rPr>
          <w:rFonts w:ascii="Arial" w:hAnsi="Arial"/>
          <w:noProof w:val="0"/>
          <w:rtl/>
        </w:rPr>
        <w:tab/>
      </w:r>
      <w:r>
        <w:rPr>
          <w:rFonts w:ascii="Arial" w:hAnsi="Arial"/>
          <w:noProof w:val="0"/>
          <w:u w:val="single"/>
          <w:rtl/>
        </w:rPr>
        <w:t>ביום 2.4.24 ניתנה ההחלטה קמא, כדלקמן</w:t>
      </w:r>
      <w:r>
        <w:rPr>
          <w:rFonts w:ascii="Arial" w:hAnsi="Arial"/>
          <w:noProof w:val="0"/>
          <w:rtl/>
        </w:rPr>
        <w:t>:</w:t>
      </w:r>
    </w:p>
    <w:p w:rsidR="00922754" w:rsidRDefault="00922754" w:rsidP="00922754">
      <w:pPr>
        <w:spacing w:after="120" w:line="360" w:lineRule="auto"/>
        <w:ind w:left="1531" w:right="1134" w:hanging="720"/>
        <w:jc w:val="both"/>
        <w:rPr>
          <w:rFonts w:ascii="Arial" w:hAnsi="Arial"/>
          <w:b/>
          <w:bCs/>
          <w:noProof w:val="0"/>
          <w:rtl/>
        </w:rPr>
      </w:pPr>
      <w:r>
        <w:rPr>
          <w:rFonts w:ascii="Arial" w:hAnsi="Arial"/>
          <w:noProof w:val="0"/>
          <w:rtl/>
        </w:rPr>
        <w:tab/>
      </w:r>
      <w:r>
        <w:rPr>
          <w:rFonts w:ascii="Arial" w:hAnsi="Arial"/>
          <w:b/>
          <w:bCs/>
          <w:noProof w:val="0"/>
          <w:rtl/>
        </w:rPr>
        <w:t>"מהטעמים שבתשובה, הבקשה נדחית".</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בגין החלטה זו הוגשה בקשת רשות הערעור דנן.</w:t>
      </w:r>
    </w:p>
    <w:p w:rsidR="00922754" w:rsidRDefault="00922754" w:rsidP="00922754">
      <w:pPr>
        <w:spacing w:after="120" w:line="360" w:lineRule="auto"/>
        <w:ind w:left="720" w:hanging="720"/>
        <w:jc w:val="both"/>
        <w:rPr>
          <w:rFonts w:asciiTheme="minorHAnsi" w:hAnsiTheme="minorHAnsi"/>
          <w:noProof w:val="0"/>
          <w:rtl/>
        </w:rPr>
      </w:pPr>
      <w:r>
        <w:rPr>
          <w:rFonts w:ascii="Arial" w:hAnsi="Arial"/>
          <w:noProof w:val="0"/>
          <w:rtl/>
        </w:rPr>
        <w:tab/>
      </w:r>
    </w:p>
    <w:p w:rsidR="00034D9A" w:rsidRDefault="00034D9A" w:rsidP="00922754">
      <w:pPr>
        <w:spacing w:after="120" w:line="360" w:lineRule="auto"/>
        <w:ind w:left="720" w:hanging="720"/>
        <w:jc w:val="both"/>
        <w:rPr>
          <w:rFonts w:asciiTheme="minorHAnsi" w:hAnsiTheme="minorHAnsi"/>
          <w:noProof w:val="0"/>
        </w:rPr>
      </w:pPr>
    </w:p>
    <w:p w:rsidR="00922754" w:rsidRDefault="00922754" w:rsidP="00922754">
      <w:pPr>
        <w:spacing w:after="120" w:line="360" w:lineRule="auto"/>
        <w:ind w:left="720" w:hanging="720"/>
        <w:jc w:val="both"/>
        <w:rPr>
          <w:rFonts w:ascii="Arial" w:hAnsi="Arial"/>
          <w:noProof w:val="0"/>
          <w:rtl/>
        </w:rPr>
      </w:pPr>
      <w:r>
        <w:rPr>
          <w:rFonts w:ascii="Arial" w:hAnsi="Arial"/>
          <w:b/>
          <w:bCs/>
          <w:noProof w:val="0"/>
          <w:u w:val="single"/>
          <w:rtl/>
        </w:rPr>
        <w:t>טענות המבקש בבקשת רשות הערעור</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10.</w:t>
      </w:r>
      <w:r>
        <w:rPr>
          <w:rFonts w:ascii="Arial" w:hAnsi="Arial"/>
          <w:noProof w:val="0"/>
          <w:rtl/>
        </w:rPr>
        <w:tab/>
      </w:r>
      <w:r>
        <w:rPr>
          <w:rFonts w:ascii="Arial" w:hAnsi="Arial"/>
          <w:noProof w:val="0"/>
          <w:u w:val="single"/>
          <w:rtl/>
        </w:rPr>
        <w:t>להלן תמצית טענות המבקש</w:t>
      </w:r>
      <w:r>
        <w:rPr>
          <w:rFonts w:ascii="Arial" w:hAnsi="Arial"/>
          <w:noProof w:val="0"/>
          <w:rtl/>
        </w:rPr>
        <w:t>:</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 xml:space="preserve">דין בקשת רשות הערעור להתקבל משני טעמים. האחד, כי בית משפט קמא לא נימק ולא הסביר את דחיית הבקשה, כנדרש בפסיקה; השני, אי צירוף </w:t>
      </w:r>
      <w:r w:rsidR="00034D9A">
        <w:rPr>
          <w:rFonts w:ascii="Arial" w:hAnsi="Arial" w:hint="cs"/>
          <w:noProof w:val="0"/>
          <w:rtl/>
        </w:rPr>
        <w:t>ט'</w:t>
      </w:r>
      <w:r>
        <w:rPr>
          <w:rFonts w:ascii="Arial" w:hAnsi="Arial"/>
          <w:noProof w:val="0"/>
          <w:rtl/>
        </w:rPr>
        <w:t xml:space="preserve"> לתובענה קמא עלול לפגוע בזכויותיה מחד גיסא, ועלול לחשוף את המבקש לתביעה מצידה בעתיד, מאידך גיסא.</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ב.</w:t>
      </w:r>
      <w:r>
        <w:rPr>
          <w:rFonts w:ascii="Arial" w:hAnsi="Arial"/>
          <w:noProof w:val="0"/>
          <w:rtl/>
        </w:rPr>
        <w:tab/>
        <w:t xml:space="preserve">אין לקבל מצב, בו המשיב מבקש לנהל תביעה ביחס לזכויותיה הנטענות של </w:t>
      </w:r>
      <w:r w:rsidR="00034D9A">
        <w:rPr>
          <w:rFonts w:ascii="Arial" w:hAnsi="Arial" w:hint="cs"/>
          <w:noProof w:val="0"/>
          <w:rtl/>
        </w:rPr>
        <w:t>ט'</w:t>
      </w:r>
      <w:r w:rsidR="00034D9A">
        <w:rPr>
          <w:rFonts w:ascii="Arial" w:hAnsi="Arial"/>
          <w:noProof w:val="0"/>
          <w:rtl/>
        </w:rPr>
        <w:t>, מבלי שט</w:t>
      </w:r>
      <w:r w:rsidR="00034D9A">
        <w:rPr>
          <w:rFonts w:ascii="Arial" w:hAnsi="Arial" w:hint="cs"/>
          <w:noProof w:val="0"/>
          <w:rtl/>
        </w:rPr>
        <w:t>'</w:t>
      </w:r>
      <w:r>
        <w:rPr>
          <w:rFonts w:ascii="Arial" w:hAnsi="Arial"/>
          <w:noProof w:val="0"/>
          <w:rtl/>
        </w:rPr>
        <w:t xml:space="preserve"> תהיה צד לאותה תביעה. בהתאם לפסיקה (שצורפה), אין בידי המשיב כל אפשרות לדרוש מהמבקש תשלום חוב במלואו, שעה שקיימת מחלוקת בינו לבין </w:t>
      </w:r>
      <w:r w:rsidR="00034D9A">
        <w:rPr>
          <w:rFonts w:ascii="Arial" w:hAnsi="Arial" w:hint="cs"/>
          <w:noProof w:val="0"/>
          <w:rtl/>
        </w:rPr>
        <w:t>ט'</w:t>
      </w:r>
      <w:r>
        <w:rPr>
          <w:rFonts w:ascii="Arial" w:hAnsi="Arial"/>
          <w:noProof w:val="0"/>
          <w:rtl/>
        </w:rPr>
        <w:t xml:space="preserve"> ביחס לחוב; אין המבקש רשאי להשיב לו ההלוואה, מקום בו </w:t>
      </w:r>
      <w:r w:rsidR="00034D9A">
        <w:rPr>
          <w:rFonts w:ascii="Arial" w:hAnsi="Arial" w:hint="cs"/>
          <w:noProof w:val="0"/>
          <w:rtl/>
        </w:rPr>
        <w:t>ט'</w:t>
      </w:r>
      <w:r>
        <w:rPr>
          <w:rFonts w:ascii="Arial" w:hAnsi="Arial"/>
          <w:noProof w:val="0"/>
          <w:rtl/>
        </w:rPr>
        <w:t xml:space="preserve"> (כנושה נוסף) דורשת מהמבקש להשיב לה אותה הלוואה.</w:t>
      </w:r>
    </w:p>
    <w:p w:rsidR="00922754" w:rsidRDefault="00922754" w:rsidP="00922754">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בקשת הצירוף קמא נטענה כטענה מקדמית בכתב ההגנה. הבקשה קמא הוגשה במסגרת סד הזמנים הקבוע בתקנה 49 לתקנות סדר הדין האזרחי, תשע"ט-2018 (להלן: "</w:t>
      </w:r>
      <w:r>
        <w:rPr>
          <w:rFonts w:ascii="Arial" w:hAnsi="Arial"/>
          <w:b/>
          <w:bCs/>
          <w:noProof w:val="0"/>
          <w:rtl/>
        </w:rPr>
        <w:t>התקנות</w:t>
      </w:r>
      <w:r>
        <w:rPr>
          <w:rFonts w:ascii="Arial" w:hAnsi="Arial"/>
          <w:noProof w:val="0"/>
          <w:rtl/>
        </w:rPr>
        <w:t xml:space="preserve">"). </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ab/>
        <w:t xml:space="preserve">עוד בפן המשפטי, צירוף </w:t>
      </w:r>
      <w:r w:rsidR="00034D9A">
        <w:rPr>
          <w:rFonts w:ascii="Arial" w:hAnsi="Arial" w:hint="cs"/>
          <w:noProof w:val="0"/>
          <w:rtl/>
        </w:rPr>
        <w:t>ט'</w:t>
      </w:r>
      <w:r>
        <w:rPr>
          <w:rFonts w:ascii="Arial" w:hAnsi="Arial"/>
          <w:noProof w:val="0"/>
          <w:rtl/>
        </w:rPr>
        <w:t xml:space="preserve"> לתובענה קמא מתבקש מכח סעיף 6(ו) לחוק בית משפט לענייני משפחה, תשנ"ה-1995 (להלן: "</w:t>
      </w:r>
      <w:r>
        <w:rPr>
          <w:rFonts w:ascii="Arial" w:hAnsi="Arial"/>
          <w:b/>
          <w:bCs/>
          <w:noProof w:val="0"/>
          <w:rtl/>
        </w:rPr>
        <w:t>החוק</w:t>
      </w:r>
      <w:r w:rsidR="00034D9A">
        <w:rPr>
          <w:rFonts w:ascii="Arial" w:hAnsi="Arial"/>
          <w:noProof w:val="0"/>
          <w:rtl/>
        </w:rPr>
        <w:t>"), שעה שט</w:t>
      </w:r>
      <w:r w:rsidR="00034D9A">
        <w:rPr>
          <w:rFonts w:ascii="Arial" w:hAnsi="Arial" w:hint="cs"/>
          <w:noProof w:val="0"/>
          <w:rtl/>
        </w:rPr>
        <w:t>'</w:t>
      </w:r>
      <w:r>
        <w:rPr>
          <w:rFonts w:ascii="Arial" w:hAnsi="Arial"/>
          <w:noProof w:val="0"/>
          <w:rtl/>
        </w:rPr>
        <w:t xml:space="preserve"> נדרשת לצורך בירור התובענה והכרעה בסכסוך.</w:t>
      </w:r>
    </w:p>
    <w:p w:rsidR="00922754" w:rsidRDefault="00922754" w:rsidP="00922754">
      <w:pPr>
        <w:spacing w:after="120" w:line="360" w:lineRule="auto"/>
        <w:ind w:left="1440" w:hanging="720"/>
        <w:jc w:val="both"/>
        <w:rPr>
          <w:rFonts w:ascii="Arial" w:hAnsi="Arial"/>
          <w:noProof w:val="0"/>
          <w:rtl/>
        </w:rPr>
      </w:pPr>
      <w:r>
        <w:rPr>
          <w:rFonts w:ascii="Arial" w:hAnsi="Arial"/>
          <w:noProof w:val="0"/>
          <w:rtl/>
        </w:rPr>
        <w:tab/>
        <w:t>כן קובעת תקנה 26(א) לתקנות, כי מותר לצרף לתובענה כל אדם הדרוש לצורך הכרעה ביעילות ובשלמות התובענה, ובלבד שהתובענה מעוררת שאלה עובדתית או משפטית משותפת לכל בעלי הדין – כבענייננו.</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ד.</w:t>
      </w:r>
      <w:r>
        <w:rPr>
          <w:rFonts w:ascii="Arial" w:hAnsi="Arial"/>
          <w:noProof w:val="0"/>
          <w:rtl/>
        </w:rPr>
        <w:tab/>
      </w:r>
      <w:r w:rsidR="00034D9A">
        <w:rPr>
          <w:rFonts w:ascii="Arial" w:hAnsi="Arial" w:hint="cs"/>
          <w:noProof w:val="0"/>
          <w:rtl/>
        </w:rPr>
        <w:t>ט'</w:t>
      </w:r>
      <w:r>
        <w:rPr>
          <w:rFonts w:ascii="Arial" w:hAnsi="Arial"/>
          <w:noProof w:val="0"/>
          <w:rtl/>
        </w:rPr>
        <w:t xml:space="preserve"> והמשיב הם למעשה שני נושים שונים, שכל אחד מהם דורש מהמבקש החזר ההלוואה כלפיו. אי צירוף מי מהנושים, עלול לקפח את הנושה האחר, ולחשוף את המבקש לתביעה מצד הנושה ש"קופח". </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ה.</w:t>
      </w:r>
      <w:r>
        <w:rPr>
          <w:rFonts w:ascii="Arial" w:hAnsi="Arial"/>
          <w:noProof w:val="0"/>
          <w:rtl/>
        </w:rPr>
        <w:tab/>
        <w:t xml:space="preserve">תביעת המשיב קמא היא </w:t>
      </w:r>
      <w:r w:rsidR="00034D9A">
        <w:rPr>
          <w:rFonts w:ascii="Arial" w:hAnsi="Arial"/>
          <w:noProof w:val="0"/>
          <w:rtl/>
        </w:rPr>
        <w:t>ניסיון לכאורה להבריח נכסים מט</w:t>
      </w:r>
      <w:r w:rsidR="00034D9A">
        <w:rPr>
          <w:rFonts w:ascii="Arial" w:hAnsi="Arial" w:hint="cs"/>
          <w:noProof w:val="0"/>
          <w:rtl/>
        </w:rPr>
        <w:t>'</w:t>
      </w:r>
      <w:r>
        <w:rPr>
          <w:rFonts w:ascii="Arial" w:hAnsi="Arial"/>
          <w:noProof w:val="0"/>
          <w:rtl/>
        </w:rPr>
        <w:t>, אגב הליך הגירושין ביניהם, מקום בו המשיב תובע כספים שהוא יודע שאשתו (</w:t>
      </w:r>
      <w:r w:rsidR="00034D9A">
        <w:rPr>
          <w:rFonts w:ascii="Arial" w:hAnsi="Arial" w:hint="cs"/>
          <w:noProof w:val="0"/>
          <w:rtl/>
        </w:rPr>
        <w:t>ט'</w:t>
      </w:r>
      <w:r>
        <w:rPr>
          <w:rFonts w:ascii="Arial" w:hAnsi="Arial"/>
          <w:noProof w:val="0"/>
          <w:rtl/>
        </w:rPr>
        <w:t>) טוענת לחלק בהם, ומבקש לנהל את ההליך מאחורי גבה.</w:t>
      </w:r>
    </w:p>
    <w:p w:rsidR="00922754" w:rsidRDefault="00922754" w:rsidP="00922754">
      <w:pPr>
        <w:spacing w:after="120" w:line="360" w:lineRule="auto"/>
        <w:ind w:left="1440" w:hanging="720"/>
        <w:jc w:val="both"/>
        <w:rPr>
          <w:rFonts w:ascii="Arial" w:hAnsi="Arial"/>
          <w:noProof w:val="0"/>
          <w:rtl/>
        </w:rPr>
      </w:pPr>
    </w:p>
    <w:p w:rsidR="00922754" w:rsidRDefault="00922754" w:rsidP="00922754">
      <w:pPr>
        <w:spacing w:after="120" w:line="360" w:lineRule="auto"/>
        <w:jc w:val="both"/>
        <w:rPr>
          <w:rFonts w:ascii="Arial" w:hAnsi="Arial"/>
          <w:b/>
          <w:bCs/>
          <w:noProof w:val="0"/>
          <w:u w:val="single"/>
          <w:rtl/>
        </w:rPr>
      </w:pPr>
      <w:r>
        <w:rPr>
          <w:rFonts w:ascii="Arial" w:hAnsi="Arial"/>
          <w:b/>
          <w:bCs/>
          <w:noProof w:val="0"/>
          <w:u w:val="single"/>
          <w:rtl/>
        </w:rPr>
        <w:t>תשובת המשיב לבקשת רשות הערעור</w:t>
      </w:r>
    </w:p>
    <w:p w:rsidR="00922754" w:rsidRDefault="00922754" w:rsidP="00922754">
      <w:pPr>
        <w:spacing w:after="120" w:line="360" w:lineRule="auto"/>
        <w:jc w:val="both"/>
        <w:rPr>
          <w:rFonts w:ascii="Arial" w:hAnsi="Arial"/>
          <w:noProof w:val="0"/>
          <w:rtl/>
        </w:rPr>
      </w:pPr>
      <w:r>
        <w:rPr>
          <w:rFonts w:ascii="Arial" w:hAnsi="Arial"/>
          <w:noProof w:val="0"/>
          <w:rtl/>
        </w:rPr>
        <w:t>11.</w:t>
      </w:r>
      <w:r>
        <w:rPr>
          <w:rFonts w:ascii="Arial" w:hAnsi="Arial"/>
          <w:noProof w:val="0"/>
          <w:rtl/>
        </w:rPr>
        <w:tab/>
      </w:r>
      <w:r>
        <w:rPr>
          <w:rFonts w:ascii="Arial" w:hAnsi="Arial"/>
          <w:noProof w:val="0"/>
          <w:u w:val="single"/>
          <w:rtl/>
        </w:rPr>
        <w:t>ביקשתי, וקיבלתי את תשובת המשיב לבקשת רשות הערעור. להלן תמצית טענותיו</w:t>
      </w:r>
      <w:r>
        <w:rPr>
          <w:rFonts w:ascii="Arial" w:hAnsi="Arial"/>
          <w:noProof w:val="0"/>
          <w:rtl/>
        </w:rPr>
        <w:t>:</w:t>
      </w:r>
    </w:p>
    <w:p w:rsidR="00922754" w:rsidRDefault="00922754" w:rsidP="00922754">
      <w:pPr>
        <w:spacing w:after="120" w:line="360" w:lineRule="auto"/>
        <w:ind w:left="1417" w:hanging="709"/>
        <w:jc w:val="both"/>
        <w:rPr>
          <w:rFonts w:ascii="Arial" w:hAnsi="Arial"/>
          <w:noProof w:val="0"/>
          <w:rtl/>
        </w:rPr>
      </w:pPr>
      <w:r>
        <w:rPr>
          <w:rFonts w:ascii="Arial" w:hAnsi="Arial"/>
          <w:noProof w:val="0"/>
          <w:rtl/>
        </w:rPr>
        <w:t>א.</w:t>
      </w:r>
      <w:r>
        <w:rPr>
          <w:rFonts w:ascii="Arial" w:hAnsi="Arial"/>
          <w:noProof w:val="0"/>
          <w:rtl/>
        </w:rPr>
        <w:tab/>
        <w:t>לא נפל כל פגם בהחלטה קמא, הגם שלא נומקה. ההחלטה קמא במהותה צודקת ונכונה, משעסקינן בהחלטה דיונית מובהקת שניתנה בהליך קמא. ידוע כי התערבות ערכאת הערעור בהחלטה דיונית תיעשה במשורה ורק במקרים חריגים, אשר המקרה דנן לא נכלל בגדרם. בית משפט קמא עיין בעמדות הצדדים וביכר את נימוקי המשיב בתגובתו, והם מהווים את נימוקי ההחלטה קמא.</w:t>
      </w:r>
    </w:p>
    <w:p w:rsidR="00922754" w:rsidRDefault="00922754" w:rsidP="00034D9A">
      <w:pPr>
        <w:spacing w:after="120" w:line="360" w:lineRule="auto"/>
        <w:ind w:left="1417" w:hanging="709"/>
        <w:jc w:val="both"/>
        <w:rPr>
          <w:rFonts w:ascii="Arial" w:hAnsi="Arial"/>
          <w:noProof w:val="0"/>
          <w:rtl/>
        </w:rPr>
      </w:pPr>
      <w:r>
        <w:rPr>
          <w:rFonts w:ascii="Arial" w:hAnsi="Arial"/>
          <w:noProof w:val="0"/>
          <w:rtl/>
        </w:rPr>
        <w:t>ב.</w:t>
      </w:r>
      <w:r>
        <w:rPr>
          <w:rFonts w:ascii="Arial" w:hAnsi="Arial"/>
          <w:noProof w:val="0"/>
          <w:rtl/>
        </w:rPr>
        <w:tab/>
        <w:t xml:space="preserve">בשנת 2019, פנתה </w:t>
      </w:r>
      <w:r w:rsidR="00034D9A">
        <w:rPr>
          <w:rFonts w:ascii="Arial" w:hAnsi="Arial" w:hint="cs"/>
          <w:noProof w:val="0"/>
          <w:rtl/>
        </w:rPr>
        <w:t>ט'</w:t>
      </w:r>
      <w:r>
        <w:rPr>
          <w:rFonts w:ascii="Arial" w:hAnsi="Arial"/>
          <w:noProof w:val="0"/>
          <w:rtl/>
        </w:rPr>
        <w:t xml:space="preserve"> אל המשיב בשם אחיה, המבקש, ושכנעה את המשיב להלוות למבקש כספים בסך של 231,000 ₪. כספים אלו שייכים למשיב ומוחרגים במסגרת הסכם הממון עליו חתמו </w:t>
      </w:r>
      <w:r w:rsidR="00034D9A">
        <w:rPr>
          <w:rFonts w:ascii="Arial" w:hAnsi="Arial" w:hint="cs"/>
          <w:noProof w:val="0"/>
          <w:rtl/>
        </w:rPr>
        <w:t>ט'</w:t>
      </w:r>
      <w:r>
        <w:rPr>
          <w:rFonts w:ascii="Arial" w:hAnsi="Arial"/>
          <w:noProof w:val="0"/>
          <w:rtl/>
        </w:rPr>
        <w:t xml:space="preserve"> והמשיב.</w:t>
      </w:r>
    </w:p>
    <w:p w:rsidR="00922754" w:rsidRDefault="00922754" w:rsidP="00922754">
      <w:pPr>
        <w:spacing w:after="120" w:line="360" w:lineRule="auto"/>
        <w:ind w:left="1417" w:hanging="709"/>
        <w:jc w:val="both"/>
        <w:rPr>
          <w:rFonts w:ascii="Arial" w:hAnsi="Arial"/>
          <w:noProof w:val="0"/>
          <w:rtl/>
        </w:rPr>
      </w:pPr>
      <w:r>
        <w:rPr>
          <w:rFonts w:ascii="Arial" w:hAnsi="Arial"/>
          <w:noProof w:val="0"/>
          <w:rtl/>
        </w:rPr>
        <w:t>ג.</w:t>
      </w:r>
      <w:r>
        <w:rPr>
          <w:rFonts w:ascii="Arial" w:hAnsi="Arial"/>
          <w:noProof w:val="0"/>
          <w:rtl/>
        </w:rPr>
        <w:tab/>
        <w:t>לא מדובר במקרה של ריבוי נושים; המשיב הגיש תביע</w:t>
      </w:r>
      <w:r w:rsidR="00034D9A">
        <w:rPr>
          <w:rFonts w:ascii="Arial" w:hAnsi="Arial"/>
          <w:noProof w:val="0"/>
          <w:rtl/>
        </w:rPr>
        <w:t>ה לגביית חובו מהמבקש, בעוד שט</w:t>
      </w:r>
      <w:r w:rsidR="00034D9A">
        <w:rPr>
          <w:rFonts w:ascii="Arial" w:hAnsi="Arial" w:hint="cs"/>
          <w:noProof w:val="0"/>
          <w:rtl/>
        </w:rPr>
        <w:t>'</w:t>
      </w:r>
      <w:r>
        <w:rPr>
          <w:rFonts w:ascii="Arial" w:hAnsi="Arial"/>
          <w:noProof w:val="0"/>
          <w:rtl/>
        </w:rPr>
        <w:t xml:space="preserve"> לא הגישה כל תביעה מטעמה נגד המבקש, ולא הוכיחה כי פעלה באופן אקטיבי לשם גביית חובו </w:t>
      </w:r>
      <w:r w:rsidR="00034D9A">
        <w:rPr>
          <w:rFonts w:ascii="Arial" w:hAnsi="Arial"/>
          <w:noProof w:val="0"/>
          <w:rtl/>
        </w:rPr>
        <w:t>הלכאורי של המבקש. צירופה של ט</w:t>
      </w:r>
      <w:r w:rsidR="00034D9A">
        <w:rPr>
          <w:rFonts w:ascii="Arial" w:hAnsi="Arial" w:hint="cs"/>
          <w:noProof w:val="0"/>
          <w:rtl/>
        </w:rPr>
        <w:t>'</w:t>
      </w:r>
      <w:r>
        <w:rPr>
          <w:rFonts w:ascii="Arial" w:hAnsi="Arial"/>
          <w:noProof w:val="0"/>
          <w:rtl/>
        </w:rPr>
        <w:t xml:space="preserve"> לא נדרש לשם בירור הסוגיה האם ניתנה הלוואה ומהו הסכום הנדרש להשבה.</w:t>
      </w:r>
    </w:p>
    <w:p w:rsidR="00922754" w:rsidRDefault="00922754" w:rsidP="00922754">
      <w:pPr>
        <w:spacing w:after="120" w:line="360" w:lineRule="auto"/>
        <w:ind w:left="1417" w:hanging="709"/>
        <w:jc w:val="both"/>
        <w:rPr>
          <w:rFonts w:ascii="Arial" w:hAnsi="Arial"/>
          <w:noProof w:val="0"/>
          <w:rtl/>
        </w:rPr>
      </w:pPr>
      <w:r>
        <w:rPr>
          <w:rFonts w:ascii="Arial" w:hAnsi="Arial"/>
          <w:noProof w:val="0"/>
          <w:rtl/>
        </w:rPr>
        <w:t>ד.</w:t>
      </w:r>
      <w:r>
        <w:rPr>
          <w:rFonts w:ascii="Arial" w:hAnsi="Arial"/>
          <w:noProof w:val="0"/>
          <w:rtl/>
        </w:rPr>
        <w:tab/>
        <w:t xml:space="preserve">אין בחוק כל סעיף המחייב את בית משפט קמא לבקש ו/או לקבל את עמדת הצד השלישי שצירופו מתבקש לתובענה. סעיף 6(ו) לחוק לא מחייב את בית המשפט לקבל תגובת הצד השלישי, ואף אין קביעה כזו בתקנות. </w:t>
      </w:r>
    </w:p>
    <w:p w:rsidR="00922754" w:rsidRDefault="00922754" w:rsidP="00034D9A">
      <w:pPr>
        <w:spacing w:after="120" w:line="360" w:lineRule="auto"/>
        <w:ind w:left="1417" w:hanging="709"/>
        <w:jc w:val="both"/>
        <w:rPr>
          <w:rFonts w:ascii="Arial" w:hAnsi="Arial"/>
          <w:noProof w:val="0"/>
          <w:rtl/>
        </w:rPr>
      </w:pPr>
      <w:r>
        <w:rPr>
          <w:rFonts w:ascii="Arial" w:hAnsi="Arial"/>
          <w:noProof w:val="0"/>
          <w:rtl/>
        </w:rPr>
        <w:t>ה.</w:t>
      </w:r>
      <w:r>
        <w:rPr>
          <w:rFonts w:ascii="Arial" w:hAnsi="Arial"/>
          <w:noProof w:val="0"/>
          <w:rtl/>
        </w:rPr>
        <w:tab/>
        <w:t>משמעות התערבות בהחלטה קמא היא עיכוב בירור ההליך קמא וסרבולו, נוכח הצורך ב</w:t>
      </w:r>
      <w:r w:rsidR="00034D9A">
        <w:rPr>
          <w:rFonts w:ascii="Arial" w:hAnsi="Arial"/>
          <w:noProof w:val="0"/>
          <w:rtl/>
        </w:rPr>
        <w:t>תיקון כתבי בית הדין. מנגד, לט</w:t>
      </w:r>
      <w:r w:rsidR="00034D9A">
        <w:rPr>
          <w:rFonts w:ascii="Arial" w:hAnsi="Arial" w:hint="cs"/>
          <w:noProof w:val="0"/>
          <w:rtl/>
        </w:rPr>
        <w:t>'</w:t>
      </w:r>
      <w:r>
        <w:rPr>
          <w:rFonts w:ascii="Arial" w:hAnsi="Arial"/>
          <w:noProof w:val="0"/>
          <w:rtl/>
        </w:rPr>
        <w:t xml:space="preserve"> לא ייגרם נזק בא</w:t>
      </w:r>
      <w:r w:rsidR="00034D9A">
        <w:rPr>
          <w:rFonts w:ascii="Arial" w:hAnsi="Arial"/>
          <w:noProof w:val="0"/>
          <w:rtl/>
        </w:rPr>
        <w:t>י צירופה להליך, שעה שלמשיב ו</w:t>
      </w:r>
      <w:r w:rsidR="00034D9A">
        <w:rPr>
          <w:rFonts w:ascii="Arial" w:hAnsi="Arial" w:hint="cs"/>
          <w:noProof w:val="0"/>
          <w:rtl/>
        </w:rPr>
        <w:t>ל</w:t>
      </w:r>
      <w:r w:rsidR="00034D9A">
        <w:rPr>
          <w:rFonts w:ascii="Arial" w:hAnsi="Arial"/>
          <w:noProof w:val="0"/>
          <w:rtl/>
        </w:rPr>
        <w:t>ט</w:t>
      </w:r>
      <w:r w:rsidR="00034D9A">
        <w:rPr>
          <w:rFonts w:ascii="Arial" w:hAnsi="Arial" w:hint="cs"/>
          <w:noProof w:val="0"/>
          <w:rtl/>
        </w:rPr>
        <w:t>'</w:t>
      </w:r>
      <w:r w:rsidR="00034D9A">
        <w:rPr>
          <w:rFonts w:ascii="Arial" w:hAnsi="Arial"/>
          <w:noProof w:val="0"/>
          <w:rtl/>
        </w:rPr>
        <w:t xml:space="preserve"> רכוש משותף שטרם אוזן. לט</w:t>
      </w:r>
      <w:r w:rsidR="00034D9A">
        <w:rPr>
          <w:rFonts w:ascii="Arial" w:hAnsi="Arial" w:hint="cs"/>
          <w:noProof w:val="0"/>
          <w:rtl/>
        </w:rPr>
        <w:t>'</w:t>
      </w:r>
      <w:r>
        <w:rPr>
          <w:rFonts w:ascii="Arial" w:hAnsi="Arial"/>
          <w:noProof w:val="0"/>
          <w:rtl/>
        </w:rPr>
        <w:t xml:space="preserve"> יש מהיכן להיפרע אף במקרה בו יורה בית משפט קמא על השבת כל הסכום לידי המשיב.</w:t>
      </w:r>
    </w:p>
    <w:p w:rsidR="00922754" w:rsidRDefault="00922754" w:rsidP="00034D9A">
      <w:pPr>
        <w:spacing w:after="120" w:line="360" w:lineRule="auto"/>
        <w:ind w:left="1417" w:hanging="709"/>
        <w:jc w:val="both"/>
        <w:rPr>
          <w:rFonts w:ascii="Arial" w:hAnsi="Arial"/>
          <w:noProof w:val="0"/>
          <w:rtl/>
        </w:rPr>
      </w:pPr>
      <w:r>
        <w:rPr>
          <w:rFonts w:ascii="Arial" w:hAnsi="Arial"/>
          <w:noProof w:val="0"/>
          <w:rtl/>
        </w:rPr>
        <w:t>ו.</w:t>
      </w:r>
      <w:r>
        <w:rPr>
          <w:rFonts w:ascii="Arial" w:hAnsi="Arial"/>
          <w:noProof w:val="0"/>
          <w:rtl/>
        </w:rPr>
        <w:tab/>
        <w:t xml:space="preserve">מדובר בנסיון נואל וחסר תום לב של </w:t>
      </w:r>
      <w:r w:rsidR="00034D9A">
        <w:rPr>
          <w:rFonts w:ascii="Arial" w:hAnsi="Arial" w:hint="cs"/>
          <w:noProof w:val="0"/>
          <w:rtl/>
        </w:rPr>
        <w:t>ט'</w:t>
      </w:r>
      <w:r>
        <w:rPr>
          <w:rFonts w:ascii="Arial" w:hAnsi="Arial"/>
          <w:noProof w:val="0"/>
          <w:rtl/>
        </w:rPr>
        <w:t xml:space="preserve"> ושל המבקש לצמצם את היקף חוב ההלוואה כלפי המשיב, באמצעו</w:t>
      </w:r>
      <w:r w:rsidR="00034D9A">
        <w:rPr>
          <w:rFonts w:ascii="Arial" w:hAnsi="Arial"/>
          <w:noProof w:val="0"/>
          <w:rtl/>
        </w:rPr>
        <w:t>ת טענה כי מחצית החוב שייכת לט</w:t>
      </w:r>
      <w:r w:rsidR="00034D9A">
        <w:rPr>
          <w:rFonts w:ascii="Arial" w:hAnsi="Arial" w:hint="cs"/>
          <w:noProof w:val="0"/>
          <w:rtl/>
        </w:rPr>
        <w:t xml:space="preserve">', </w:t>
      </w:r>
      <w:r w:rsidR="00034D9A">
        <w:rPr>
          <w:rFonts w:ascii="Arial" w:hAnsi="Arial"/>
          <w:noProof w:val="0"/>
          <w:rtl/>
        </w:rPr>
        <w:t>ומבלי שהוגש הליך מתאים מטעם ט</w:t>
      </w:r>
      <w:r w:rsidR="00034D9A">
        <w:rPr>
          <w:rFonts w:ascii="Arial" w:hAnsi="Arial" w:hint="cs"/>
          <w:noProof w:val="0"/>
          <w:rtl/>
        </w:rPr>
        <w:t>'</w:t>
      </w:r>
      <w:r>
        <w:rPr>
          <w:rFonts w:ascii="Arial" w:hAnsi="Arial"/>
          <w:noProof w:val="0"/>
          <w:rtl/>
        </w:rPr>
        <w:t xml:space="preserve"> לבירור טענתה. לא ניתן לכפות על המשיב, הוא התובע קמא, לצרף צדדים לתביעתו.</w:t>
      </w:r>
    </w:p>
    <w:p w:rsidR="00922754" w:rsidRDefault="00922754" w:rsidP="00922754">
      <w:pPr>
        <w:spacing w:after="120" w:line="360" w:lineRule="auto"/>
        <w:ind w:left="1417" w:hanging="709"/>
        <w:jc w:val="both"/>
        <w:rPr>
          <w:rFonts w:ascii="Arial" w:hAnsi="Arial"/>
          <w:noProof w:val="0"/>
          <w:rtl/>
        </w:rPr>
      </w:pPr>
    </w:p>
    <w:p w:rsidR="00922754" w:rsidRDefault="00922754" w:rsidP="00922754">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922754" w:rsidRDefault="00922754" w:rsidP="00922754">
      <w:pPr>
        <w:spacing w:after="120" w:line="360" w:lineRule="auto"/>
        <w:ind w:left="720" w:hanging="720"/>
        <w:jc w:val="both"/>
        <w:rPr>
          <w:rFonts w:ascii="David" w:hAnsi="David"/>
          <w:noProof w:val="0"/>
        </w:rPr>
      </w:pPr>
      <w:r>
        <w:rPr>
          <w:rFonts w:ascii="Arial" w:hAnsi="Arial"/>
          <w:noProof w:val="0"/>
          <w:rtl/>
        </w:rPr>
        <w:t>12.</w:t>
      </w:r>
      <w:r>
        <w:rPr>
          <w:rFonts w:ascii="Arial" w:hAnsi="Arial"/>
          <w:noProof w:val="0"/>
          <w:rtl/>
        </w:rPr>
        <w:tab/>
      </w:r>
      <w:r>
        <w:rPr>
          <w:rFonts w:ascii="Arial" w:hAnsi="Arial"/>
          <w:b/>
          <w:bCs/>
          <w:noProof w:val="0"/>
          <w:rtl/>
        </w:rPr>
        <w:t>לאחר עיון בבקשת רשות הערעור על נספחיה ובתיק קמא שוכנעתי ליתן רשות ערעור, לדון בבקשה כבערעור, ולקבל הערעור מכח סמכותי על פי תקנות 138(א)(2) + (5) לתקנות.</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להלן אנמק את החלטתי.</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13.</w:t>
      </w:r>
      <w:r>
        <w:rPr>
          <w:rFonts w:ascii="Arial" w:hAnsi="Arial"/>
          <w:noProof w:val="0"/>
          <w:rtl/>
        </w:rPr>
        <w:tab/>
        <w:t>ההחלטה קמא ניתנה בלאקוניות וללא נימוק כלל, חרף כתבי הבקשה והתגובה המפורטים בבקשה קמא.</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ידועה הפסיקה הקובעת, כי חובת ההנמקה חלה על הערכאה הדיונית, על מנת לאפשר לצדדים להבין על מה מבוססת החלטתה, ועל מנת לאפשר לערכאת הערעור להעביר את שבט ביקורתו.</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 xml:space="preserve">היקפה של חובת ההנמקה משתנה ממקרה למקרה, בהתאם לנסיבת ולמהות ההחלטה, ולערכאה הדיונית מסור שיקול הדעת באשר לאופן מימוש חובת ההנמקה והיקפה, </w:t>
      </w:r>
      <w:r>
        <w:rPr>
          <w:rFonts w:ascii="Arial" w:hAnsi="Arial"/>
          <w:b/>
          <w:bCs/>
          <w:noProof w:val="0"/>
          <w:rtl/>
        </w:rPr>
        <w:t>אך החובה לנמק חלה תמיד</w:t>
      </w:r>
      <w:r>
        <w:rPr>
          <w:rFonts w:ascii="Arial" w:hAnsi="Arial"/>
          <w:noProof w:val="0"/>
          <w:rtl/>
        </w:rPr>
        <w:t>.</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ראו למשל</w:t>
      </w:r>
      <w:r>
        <w:rPr>
          <w:rFonts w:ascii="Arial" w:hAnsi="Arial"/>
          <w:noProof w:val="0"/>
          <w:rtl/>
        </w:rPr>
        <w:t>:</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רמ"ש (חי') 39969-05-21‏ י. א נ' ר. א (10.6.2021);</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רמ"ש (חי') 60908-01-19‏ פלוני נ' אלמונית (7.2.2019);</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רמ"ש (חי') 46063-07-18‏ ‏ פלונית נ' פלוני (6.8.2018).</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14.</w:t>
      </w:r>
      <w:r>
        <w:rPr>
          <w:rFonts w:ascii="Arial" w:hAnsi="Arial"/>
          <w:noProof w:val="0"/>
          <w:rtl/>
        </w:rPr>
        <w:tab/>
      </w:r>
      <w:r>
        <w:rPr>
          <w:rFonts w:ascii="Arial" w:hAnsi="Arial"/>
          <w:b/>
          <w:bCs/>
          <w:noProof w:val="0"/>
          <w:rtl/>
        </w:rPr>
        <w:t>משלא נימקה השופטת קמא את החלטתה קמא, מצדיק הדבר את התערבות ערכאת הערעור</w:t>
      </w:r>
      <w:r>
        <w:rPr>
          <w:rFonts w:ascii="Arial" w:hAnsi="Arial"/>
          <w:noProof w:val="0"/>
          <w:rtl/>
        </w:rPr>
        <w:t xml:space="preserve">. </w:t>
      </w:r>
    </w:p>
    <w:p w:rsidR="00922754" w:rsidRDefault="00922754" w:rsidP="00804064">
      <w:pPr>
        <w:spacing w:after="120" w:line="360" w:lineRule="auto"/>
        <w:ind w:left="720" w:hanging="720"/>
        <w:jc w:val="both"/>
        <w:rPr>
          <w:rFonts w:ascii="Arial" w:hAnsi="Arial"/>
          <w:noProof w:val="0"/>
          <w:rtl/>
        </w:rPr>
      </w:pPr>
      <w:r>
        <w:rPr>
          <w:rFonts w:ascii="Arial" w:hAnsi="Arial"/>
          <w:noProof w:val="0"/>
          <w:rtl/>
        </w:rPr>
        <w:tab/>
        <w:t xml:space="preserve">לא זו אף זו – אף לגופן של הטענות בערעור, סבורני כי יש לקבל את הערעור ולהורות על צירוף </w:t>
      </w:r>
      <w:r w:rsidR="00804064">
        <w:rPr>
          <w:rFonts w:ascii="Arial" w:hAnsi="Arial" w:hint="cs"/>
          <w:noProof w:val="0"/>
          <w:rtl/>
        </w:rPr>
        <w:t>ט'</w:t>
      </w:r>
      <w:r>
        <w:rPr>
          <w:rFonts w:ascii="Arial" w:hAnsi="Arial"/>
          <w:noProof w:val="0"/>
          <w:rtl/>
        </w:rPr>
        <w:t xml:space="preserve"> כנתבעת נוספת בתובענה קמא.</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15.</w:t>
      </w:r>
      <w:r>
        <w:rPr>
          <w:rFonts w:ascii="Arial" w:hAnsi="Arial"/>
          <w:noProof w:val="0"/>
          <w:rtl/>
        </w:rPr>
        <w:tab/>
        <w:t>סעיף 6(ו) לחוק מורה אותנו כי "</w:t>
      </w:r>
      <w:r>
        <w:rPr>
          <w:b/>
          <w:bCs/>
          <w:rtl/>
        </w:rPr>
        <w:t>ב</w:t>
      </w:r>
      <w:r>
        <w:rPr>
          <w:rFonts w:ascii="Arial" w:hAnsi="Arial"/>
          <w:b/>
          <w:bCs/>
          <w:noProof w:val="0"/>
          <w:rtl/>
        </w:rPr>
        <w:t>ית משפט לעניני משפחה רשאי לצרף לתובענה מי שלצורך בירור התובענה והכרעה בסכסוך נדרש שיהיה צד לה, יהא נושא התובענה או שוויה אשר יהא</w:t>
      </w:r>
      <w:r>
        <w:rPr>
          <w:rFonts w:ascii="Arial" w:hAnsi="Arial"/>
          <w:noProof w:val="0"/>
          <w:rtl/>
        </w:rPr>
        <w:t xml:space="preserve">". </w:t>
      </w:r>
    </w:p>
    <w:p w:rsidR="00922754" w:rsidRDefault="00922754" w:rsidP="00922754">
      <w:pPr>
        <w:spacing w:after="120" w:line="360" w:lineRule="auto"/>
        <w:ind w:left="720" w:hanging="720"/>
        <w:jc w:val="both"/>
        <w:rPr>
          <w:rFonts w:ascii="David" w:hAnsi="David"/>
          <w:b/>
          <w:bCs/>
          <w:color w:val="000000"/>
          <w:rtl/>
        </w:rPr>
      </w:pPr>
      <w:r>
        <w:rPr>
          <w:rFonts w:ascii="Arial" w:hAnsi="Arial"/>
          <w:noProof w:val="0"/>
          <w:rtl/>
        </w:rPr>
        <w:tab/>
        <w:t>נוסף על כך, בתקנה 26(א) לתקנות נקבע כי "</w:t>
      </w:r>
      <w:r>
        <w:rPr>
          <w:rFonts w:ascii="David" w:hAnsi="David"/>
          <w:b/>
          <w:bCs/>
          <w:color w:val="000000"/>
          <w:rtl/>
        </w:rPr>
        <w:t>מותר לצרף</w:t>
      </w:r>
      <w:r>
        <w:rPr>
          <w:rFonts w:ascii="David" w:hAnsi="David"/>
          <w:color w:val="000000"/>
          <w:rtl/>
        </w:rPr>
        <w:t> </w:t>
      </w:r>
      <w:r>
        <w:rPr>
          <w:rFonts w:ascii="David" w:hAnsi="David"/>
          <w:b/>
          <w:bCs/>
          <w:color w:val="000000"/>
          <w:rtl/>
        </w:rPr>
        <w:t>בכתב תביעה אחד, כתובע או כנתבע, כל אדם הדרוש לצורך הכרעה ביעילות ובשלמות בתובענה, ובלבד שהתובענה מעוררת שאלה עובדתית או משפטית משותפת לכל בעלי הדין"</w:t>
      </w:r>
      <w:r>
        <w:rPr>
          <w:rFonts w:ascii="David" w:hAnsi="David"/>
          <w:b/>
          <w:bCs/>
          <w:color w:val="000000"/>
        </w:rPr>
        <w:t>.</w:t>
      </w:r>
    </w:p>
    <w:p w:rsidR="00922754" w:rsidRDefault="00922754" w:rsidP="00804064">
      <w:pPr>
        <w:spacing w:after="120" w:line="360" w:lineRule="auto"/>
        <w:ind w:left="720" w:hanging="720"/>
        <w:jc w:val="both"/>
        <w:rPr>
          <w:rFonts w:ascii="David" w:hAnsi="David"/>
          <w:color w:val="000000"/>
          <w:rtl/>
        </w:rPr>
      </w:pPr>
      <w:r>
        <w:rPr>
          <w:rFonts w:ascii="David" w:hAnsi="David"/>
          <w:b/>
          <w:bCs/>
          <w:color w:val="000000"/>
          <w:rtl/>
        </w:rPr>
        <w:tab/>
      </w:r>
      <w:r>
        <w:rPr>
          <w:rFonts w:ascii="David" w:hAnsi="David"/>
          <w:color w:val="000000"/>
          <w:u w:val="single"/>
          <w:rtl/>
        </w:rPr>
        <w:t xml:space="preserve">סבורני כי השאלה העובדתית שהתעוררה בתובענה קמא, מערבת אף את </w:t>
      </w:r>
      <w:r w:rsidR="00804064">
        <w:rPr>
          <w:rFonts w:ascii="David" w:hAnsi="David" w:hint="cs"/>
          <w:color w:val="000000"/>
          <w:u w:val="single"/>
          <w:rtl/>
        </w:rPr>
        <w:t>ט'</w:t>
      </w:r>
      <w:r>
        <w:rPr>
          <w:rFonts w:ascii="David" w:hAnsi="David" w:hint="cs"/>
          <w:color w:val="000000"/>
          <w:u w:val="single"/>
          <w:rtl/>
        </w:rPr>
        <w:t>. לכן</w:t>
      </w:r>
      <w:r>
        <w:rPr>
          <w:rFonts w:ascii="David" w:hAnsi="David"/>
          <w:color w:val="000000"/>
          <w:u w:val="single"/>
          <w:rtl/>
        </w:rPr>
        <w:t xml:space="preserve"> לצורך בירור שאלה זו עד תום, בצורה יעילה ושלמה, יש לצרפה כצד </w:t>
      </w:r>
      <w:r>
        <w:rPr>
          <w:rFonts w:ascii="David" w:hAnsi="David" w:hint="cs"/>
          <w:color w:val="000000"/>
          <w:u w:val="single"/>
          <w:rtl/>
        </w:rPr>
        <w:t>ל</w:t>
      </w:r>
      <w:r>
        <w:rPr>
          <w:rFonts w:ascii="David" w:hAnsi="David"/>
          <w:color w:val="000000"/>
          <w:u w:val="single"/>
          <w:rtl/>
        </w:rPr>
        <w:t>תובענה קמא</w:t>
      </w:r>
      <w:r>
        <w:rPr>
          <w:rFonts w:ascii="David" w:hAnsi="David"/>
          <w:color w:val="000000"/>
          <w:rtl/>
        </w:rPr>
        <w:t>.</w:t>
      </w:r>
    </w:p>
    <w:p w:rsidR="00922754" w:rsidRDefault="00922754" w:rsidP="00922754">
      <w:pPr>
        <w:spacing w:after="120" w:line="360" w:lineRule="auto"/>
        <w:ind w:left="720" w:hanging="720"/>
        <w:jc w:val="both"/>
        <w:rPr>
          <w:rFonts w:ascii="David" w:hAnsi="David"/>
          <w:color w:val="000000"/>
          <w:rtl/>
        </w:rPr>
      </w:pPr>
      <w:r>
        <w:rPr>
          <w:rFonts w:ascii="David" w:hAnsi="David"/>
          <w:color w:val="000000"/>
          <w:rtl/>
        </w:rPr>
        <w:tab/>
        <w:t xml:space="preserve">במה דברים אמורים? לגרסת המבקש (כפי שפורט בסעיף 4 לעיל), </w:t>
      </w:r>
      <w:r>
        <w:rPr>
          <w:rFonts w:ascii="Arial" w:hAnsi="Arial"/>
          <w:noProof w:val="0"/>
          <w:rtl/>
        </w:rPr>
        <w:t xml:space="preserve">לאחר שהגיש המשיב את כתב התביעה </w:t>
      </w:r>
      <w:r w:rsidR="00804064">
        <w:rPr>
          <w:rFonts w:ascii="Arial" w:hAnsi="Arial"/>
          <w:noProof w:val="0"/>
          <w:rtl/>
        </w:rPr>
        <w:t>קמא נגד המבקש, פנה המבקש לט</w:t>
      </w:r>
      <w:r w:rsidR="00804064">
        <w:rPr>
          <w:rFonts w:ascii="Arial" w:hAnsi="Arial" w:hint="cs"/>
          <w:noProof w:val="0"/>
          <w:rtl/>
        </w:rPr>
        <w:t>'</w:t>
      </w:r>
      <w:r>
        <w:rPr>
          <w:rFonts w:ascii="Arial" w:hAnsi="Arial"/>
          <w:noProof w:val="0"/>
          <w:rtl/>
        </w:rPr>
        <w:t xml:space="preserve"> אחותו בכתב, לדעת האם דורשת קיום חלק מהחוב. הוא נענה כי יש</w:t>
      </w:r>
      <w:r w:rsidR="00804064">
        <w:rPr>
          <w:rFonts w:ascii="Arial" w:hAnsi="Arial"/>
          <w:noProof w:val="0"/>
          <w:rtl/>
        </w:rPr>
        <w:t xml:space="preserve"> לפרוע מחצית מיתרת החוב מול ט</w:t>
      </w:r>
      <w:r w:rsidR="00804064">
        <w:rPr>
          <w:rFonts w:ascii="Arial" w:hAnsi="Arial" w:hint="cs"/>
          <w:noProof w:val="0"/>
          <w:rtl/>
        </w:rPr>
        <w:t>'</w:t>
      </w:r>
      <w:r>
        <w:rPr>
          <w:rFonts w:ascii="Arial" w:hAnsi="Arial"/>
          <w:noProof w:val="0"/>
          <w:rtl/>
        </w:rPr>
        <w:t>, וכי אין להעביר למשיב כספים השייכים לה.</w:t>
      </w:r>
    </w:p>
    <w:p w:rsidR="00922754" w:rsidRDefault="00922754" w:rsidP="00922754">
      <w:pPr>
        <w:spacing w:after="120" w:line="360" w:lineRule="auto"/>
        <w:ind w:left="720" w:hanging="720"/>
        <w:jc w:val="both"/>
        <w:rPr>
          <w:rFonts w:ascii="David" w:hAnsi="David"/>
          <w:color w:val="000000"/>
          <w:rtl/>
        </w:rPr>
      </w:pPr>
      <w:r>
        <w:rPr>
          <w:rFonts w:ascii="David" w:hAnsi="David"/>
          <w:color w:val="000000"/>
          <w:rtl/>
        </w:rPr>
        <w:tab/>
        <w:t xml:space="preserve">לטעמי, </w:t>
      </w:r>
      <w:r w:rsidR="00804064">
        <w:rPr>
          <w:rFonts w:ascii="David" w:hAnsi="David"/>
          <w:color w:val="000000"/>
          <w:rtl/>
        </w:rPr>
        <w:t>לא ניתן להתעלם מעמדתה זו של ט</w:t>
      </w:r>
      <w:r w:rsidR="00804064">
        <w:rPr>
          <w:rFonts w:ascii="David" w:hAnsi="David" w:hint="cs"/>
          <w:color w:val="000000"/>
          <w:rtl/>
        </w:rPr>
        <w:t>'</w:t>
      </w:r>
      <w:r w:rsidR="00804064">
        <w:rPr>
          <w:rFonts w:ascii="David" w:hAnsi="David"/>
          <w:color w:val="000000"/>
          <w:rtl/>
        </w:rPr>
        <w:t>, שהובאה בכתב. הגם שט</w:t>
      </w:r>
      <w:r w:rsidR="00804064">
        <w:rPr>
          <w:rFonts w:ascii="David" w:hAnsi="David" w:hint="cs"/>
          <w:color w:val="000000"/>
          <w:rtl/>
        </w:rPr>
        <w:t>'</w:t>
      </w:r>
      <w:r>
        <w:rPr>
          <w:rFonts w:ascii="David" w:hAnsi="David"/>
          <w:color w:val="000000"/>
          <w:rtl/>
        </w:rPr>
        <w:t xml:space="preserve"> בחרה לא לפתוח (בשלב זה) הליך משפטי נגד המבקש, </w:t>
      </w:r>
      <w:r>
        <w:rPr>
          <w:rFonts w:ascii="David" w:hAnsi="David"/>
          <w:b/>
          <w:bCs/>
          <w:color w:val="000000"/>
          <w:rtl/>
        </w:rPr>
        <w:t>סבורני כי טוב ויעיל יהי</w:t>
      </w:r>
      <w:r w:rsidR="00804064">
        <w:rPr>
          <w:rFonts w:ascii="David" w:hAnsi="David"/>
          <w:b/>
          <w:bCs/>
          <w:color w:val="000000"/>
          <w:rtl/>
        </w:rPr>
        <w:t>ה, עבור כל הצדדים, לו תצורף ט</w:t>
      </w:r>
      <w:r w:rsidR="00804064">
        <w:rPr>
          <w:rFonts w:ascii="David" w:hAnsi="David" w:hint="cs"/>
          <w:b/>
          <w:bCs/>
          <w:color w:val="000000"/>
          <w:rtl/>
        </w:rPr>
        <w:t>'</w:t>
      </w:r>
      <w:r>
        <w:rPr>
          <w:rFonts w:ascii="David" w:hAnsi="David"/>
          <w:b/>
          <w:bCs/>
          <w:color w:val="000000"/>
          <w:rtl/>
        </w:rPr>
        <w:t xml:space="preserve"> לתובענה קמא, במסגרתה ייבחנו טענות כל הצדדים ותינתן הכרעה אחת בנוגע לכספי ההלוואה</w:t>
      </w:r>
      <w:r>
        <w:rPr>
          <w:rFonts w:ascii="David" w:hAnsi="David"/>
          <w:color w:val="000000"/>
          <w:rtl/>
        </w:rPr>
        <w:t>.</w:t>
      </w:r>
    </w:p>
    <w:p w:rsidR="00922754" w:rsidRDefault="00922754" w:rsidP="00922754">
      <w:pPr>
        <w:spacing w:after="120" w:line="360" w:lineRule="auto"/>
        <w:ind w:left="720" w:hanging="720"/>
        <w:jc w:val="both"/>
        <w:rPr>
          <w:rFonts w:ascii="David" w:hAnsi="David"/>
          <w:b/>
          <w:bCs/>
          <w:color w:val="000000"/>
          <w:rtl/>
        </w:rPr>
      </w:pPr>
      <w:r>
        <w:rPr>
          <w:rFonts w:ascii="David" w:hAnsi="David"/>
          <w:color w:val="000000"/>
          <w:rtl/>
        </w:rPr>
        <w:t>16.</w:t>
      </w:r>
      <w:r>
        <w:rPr>
          <w:rFonts w:ascii="David" w:hAnsi="David"/>
          <w:b/>
          <w:bCs/>
          <w:color w:val="000000"/>
          <w:rtl/>
        </w:rPr>
        <w:tab/>
      </w:r>
      <w:r>
        <w:rPr>
          <w:rFonts w:ascii="David" w:hAnsi="David"/>
          <w:color w:val="000000"/>
          <w:u w:val="single"/>
          <w:rtl/>
        </w:rPr>
        <w:t>באשר לטענות המשיב כי בכך ייגרם עיכוב בבירו</w:t>
      </w:r>
      <w:r w:rsidR="00804064">
        <w:rPr>
          <w:rFonts w:ascii="David" w:hAnsi="David"/>
          <w:color w:val="000000"/>
          <w:u w:val="single"/>
          <w:rtl/>
        </w:rPr>
        <w:t>ר התובענה ו/או כי צירופה של ט</w:t>
      </w:r>
      <w:r w:rsidR="00804064">
        <w:rPr>
          <w:rFonts w:ascii="David" w:hAnsi="David" w:hint="cs"/>
          <w:color w:val="000000"/>
          <w:u w:val="single"/>
          <w:rtl/>
        </w:rPr>
        <w:t>'</w:t>
      </w:r>
      <w:r>
        <w:rPr>
          <w:rFonts w:ascii="David" w:hAnsi="David"/>
          <w:color w:val="000000"/>
          <w:u w:val="single"/>
          <w:rtl/>
        </w:rPr>
        <w:t xml:space="preserve"> נועד להקטין את סכום החוב נאמר כך</w:t>
      </w:r>
      <w:r>
        <w:rPr>
          <w:rFonts w:ascii="David" w:hAnsi="David"/>
          <w:color w:val="000000"/>
          <w:rtl/>
        </w:rPr>
        <w:t>:</w:t>
      </w:r>
    </w:p>
    <w:p w:rsidR="00922754" w:rsidRDefault="00922754" w:rsidP="00922754">
      <w:pPr>
        <w:spacing w:after="120" w:line="360" w:lineRule="auto"/>
        <w:ind w:left="720" w:hanging="720"/>
        <w:jc w:val="both"/>
        <w:rPr>
          <w:rFonts w:ascii="David" w:hAnsi="David"/>
          <w:color w:val="000000"/>
          <w:rtl/>
        </w:rPr>
      </w:pPr>
      <w:r>
        <w:rPr>
          <w:rFonts w:ascii="David" w:hAnsi="David"/>
          <w:b/>
          <w:bCs/>
          <w:color w:val="000000"/>
          <w:rtl/>
        </w:rPr>
        <w:tab/>
      </w:r>
      <w:r>
        <w:rPr>
          <w:rFonts w:ascii="David" w:hAnsi="David"/>
          <w:color w:val="000000"/>
          <w:rtl/>
        </w:rPr>
        <w:t>עיון בתיק קמא מלמד כי ההליך נמצא בראשיתו (טרם הוגשו תצהירי עדות ראשית), כך שהעכוב לא יהיה משמעותי; ובכל מקרה עדיף שהסכסוך נשוא ההלוואה יתקיים בין כל בעלי הדין הנדרשים, ובכך לחסוך אפשרות להליכים משפטיים עתידיים מיותרים בנוגע לאותה הלוואה;</w:t>
      </w:r>
    </w:p>
    <w:p w:rsidR="00922754" w:rsidRDefault="00922754" w:rsidP="00922754">
      <w:pPr>
        <w:spacing w:after="120" w:line="360" w:lineRule="auto"/>
        <w:ind w:left="720" w:hanging="720"/>
        <w:jc w:val="both"/>
        <w:rPr>
          <w:rFonts w:ascii="David" w:hAnsi="David"/>
          <w:color w:val="000000"/>
          <w:rtl/>
        </w:rPr>
      </w:pPr>
      <w:r>
        <w:rPr>
          <w:rFonts w:ascii="David" w:hAnsi="David"/>
          <w:color w:val="000000"/>
          <w:rtl/>
        </w:rPr>
        <w:tab/>
        <w:t>הטענה</w:t>
      </w:r>
      <w:r w:rsidR="00804064">
        <w:rPr>
          <w:rFonts w:ascii="David" w:hAnsi="David"/>
          <w:color w:val="000000"/>
          <w:rtl/>
        </w:rPr>
        <w:t xml:space="preserve"> כי צירופה של ט</w:t>
      </w:r>
      <w:r w:rsidR="00804064">
        <w:rPr>
          <w:rFonts w:ascii="David" w:hAnsi="David" w:hint="cs"/>
          <w:color w:val="000000"/>
          <w:rtl/>
        </w:rPr>
        <w:t>'</w:t>
      </w:r>
      <w:r>
        <w:rPr>
          <w:rFonts w:ascii="David" w:hAnsi="David"/>
          <w:color w:val="000000"/>
          <w:rtl/>
        </w:rPr>
        <w:t xml:space="preserve"> נועד להקטין את סכום חוב ההלוואה כלפי המשיב דינה </w:t>
      </w:r>
      <w:r w:rsidR="00804064">
        <w:rPr>
          <w:rFonts w:ascii="David" w:hAnsi="David"/>
          <w:color w:val="000000"/>
          <w:rtl/>
        </w:rPr>
        <w:t>להתברר לגופא לאחר צירופה של ט</w:t>
      </w:r>
      <w:r w:rsidR="00804064">
        <w:rPr>
          <w:rFonts w:ascii="David" w:hAnsi="David" w:hint="cs"/>
          <w:color w:val="000000"/>
          <w:rtl/>
        </w:rPr>
        <w:t>'</w:t>
      </w:r>
      <w:r>
        <w:rPr>
          <w:rFonts w:ascii="David" w:hAnsi="David"/>
          <w:color w:val="000000"/>
          <w:rtl/>
        </w:rPr>
        <w:t xml:space="preserve"> לתובענה, </w:t>
      </w:r>
      <w:r w:rsidR="00804064">
        <w:rPr>
          <w:rFonts w:ascii="David" w:hAnsi="David"/>
          <w:color w:val="000000"/>
          <w:rtl/>
        </w:rPr>
        <w:t>והיא עצמה מלמדת לכאורה מדוע ט</w:t>
      </w:r>
      <w:r w:rsidR="00804064">
        <w:rPr>
          <w:rFonts w:ascii="David" w:hAnsi="David" w:hint="cs"/>
          <w:color w:val="000000"/>
          <w:rtl/>
        </w:rPr>
        <w:t>'</w:t>
      </w:r>
      <w:r>
        <w:rPr>
          <w:rFonts w:ascii="David" w:hAnsi="David"/>
          <w:color w:val="000000"/>
          <w:rtl/>
        </w:rPr>
        <w:t xml:space="preserve"> צריכה להיות בעלת דין בתובענה קמא.</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17.</w:t>
      </w:r>
      <w:r>
        <w:rPr>
          <w:rFonts w:ascii="Arial" w:hAnsi="Arial"/>
          <w:noProof w:val="0"/>
          <w:rtl/>
        </w:rPr>
        <w:tab/>
      </w:r>
      <w:r>
        <w:rPr>
          <w:rFonts w:ascii="Arial" w:hAnsi="Arial"/>
          <w:b/>
          <w:bCs/>
          <w:noProof w:val="0"/>
          <w:rtl/>
        </w:rPr>
        <w:t xml:space="preserve">לאור כל האמור לעיל שוכנעתי לקבל את </w:t>
      </w:r>
      <w:r w:rsidR="00804064">
        <w:rPr>
          <w:rFonts w:ascii="Arial" w:hAnsi="Arial"/>
          <w:b/>
          <w:bCs/>
          <w:noProof w:val="0"/>
          <w:rtl/>
        </w:rPr>
        <w:t>הערעור ולהורות על צירופה של ט</w:t>
      </w:r>
      <w:r w:rsidR="00804064">
        <w:rPr>
          <w:rFonts w:ascii="Arial" w:hAnsi="Arial" w:hint="cs"/>
          <w:b/>
          <w:bCs/>
          <w:noProof w:val="0"/>
          <w:rtl/>
        </w:rPr>
        <w:t>'</w:t>
      </w:r>
      <w:r>
        <w:rPr>
          <w:rFonts w:ascii="Arial" w:hAnsi="Arial"/>
          <w:b/>
          <w:bCs/>
          <w:noProof w:val="0"/>
          <w:rtl/>
        </w:rPr>
        <w:t xml:space="preserve"> כנתבעת בתיק קמא.</w:t>
      </w:r>
      <w:r>
        <w:rPr>
          <w:rFonts w:ascii="Arial" w:hAnsi="Arial"/>
          <w:noProof w:val="0"/>
          <w:rtl/>
        </w:rPr>
        <w:t xml:space="preserve"> </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המשך ניהולה הדיוני של התו</w:t>
      </w:r>
      <w:r w:rsidR="00804064">
        <w:rPr>
          <w:rFonts w:ascii="Arial" w:hAnsi="Arial"/>
          <w:noProof w:val="0"/>
          <w:rtl/>
        </w:rPr>
        <w:t>בענה ומועדיה לאור צירופה של ט</w:t>
      </w:r>
      <w:r w:rsidR="00804064">
        <w:rPr>
          <w:rFonts w:ascii="Arial" w:hAnsi="Arial" w:hint="cs"/>
          <w:noProof w:val="0"/>
          <w:rtl/>
        </w:rPr>
        <w:t>'</w:t>
      </w:r>
      <w:r>
        <w:rPr>
          <w:rFonts w:ascii="Arial" w:hAnsi="Arial"/>
          <w:noProof w:val="0"/>
          <w:rtl/>
        </w:rPr>
        <w:t xml:space="preserve"> כנתבעת נוספת יינתנו על ידי בית משפט קמא בהתאם לשיקול דעתו, מיד לאחר שיעיין בפסק דין זה.</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במסגרת זאת, בית משפט קמא יקבע אם יש צורך בכתב תביעה מתוקן אם לאו ו/או</w:t>
      </w:r>
      <w:r>
        <w:rPr>
          <w:rFonts w:ascii="Arial" w:hAnsi="Arial" w:hint="cs"/>
          <w:noProof w:val="0"/>
          <w:rtl/>
        </w:rPr>
        <w:t xml:space="preserve"> ייתן</w:t>
      </w:r>
      <w:r>
        <w:rPr>
          <w:rFonts w:ascii="Arial" w:hAnsi="Arial"/>
          <w:noProof w:val="0"/>
          <w:rtl/>
        </w:rPr>
        <w:t xml:space="preserve"> כל החלטה דיונית נדרשת אחרת.</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18.</w:t>
      </w:r>
      <w:r>
        <w:rPr>
          <w:rFonts w:ascii="Arial" w:hAnsi="Arial"/>
          <w:noProof w:val="0"/>
          <w:rtl/>
        </w:rPr>
        <w:tab/>
      </w:r>
      <w:r>
        <w:rPr>
          <w:rFonts w:ascii="David" w:hAnsi="David"/>
          <w:rtl/>
        </w:rPr>
        <w:t>המשיב יישא בהוצאות המבקש בגין ערעור זה, בסך כולל של 3,000 ₪. סך זה ישולם למבקש תוך 30 ימים ממועד מתן פסק דין זה, שאם לא כן יישא הסכום הפרשי הצמדה וריבית מהיום ועד יום התשלום בפועל.</w:t>
      </w:r>
    </w:p>
    <w:p w:rsidR="00922754" w:rsidRDefault="00922754" w:rsidP="003F719F">
      <w:pPr>
        <w:spacing w:after="120" w:line="360" w:lineRule="auto"/>
        <w:ind w:left="720" w:hanging="720"/>
        <w:jc w:val="both"/>
        <w:rPr>
          <w:rFonts w:ascii="Arial" w:hAnsi="Arial"/>
          <w:b/>
          <w:bCs/>
          <w:noProof w:val="0"/>
          <w:rtl/>
        </w:rPr>
      </w:pPr>
      <w:r>
        <w:rPr>
          <w:rFonts w:ascii="Arial" w:hAnsi="Arial"/>
          <w:noProof w:val="0"/>
          <w:rtl/>
        </w:rPr>
        <w:tab/>
        <w:t>עירבון שהופקד בתיק זה יוחזר לידי מפקידו, באמצעות בא כוחו.</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22291B" w:rsidRDefault="0022291B" w:rsidP="00922754">
            <w:pPr>
              <w:bidi w:val="0"/>
              <w:jc w:val="center"/>
              <w:rPr>
                <w:rFonts w:ascii="Arial" w:hAnsi="Arial"/>
                <w:b/>
                <w:bCs/>
                <w:noProof w:val="0"/>
                <w:rtl/>
              </w:rPr>
            </w:pPr>
          </w:p>
          <w:p w:rsidR="00D44968" w:rsidRPr="00D44968" w:rsidRDefault="00922754" w:rsidP="0022291B">
            <w:pPr>
              <w:bidi w:val="0"/>
              <w:jc w:val="center"/>
              <w:rPr>
                <w:rFonts w:ascii="Arial" w:hAnsi="Arial"/>
                <w:b/>
                <w:bCs/>
                <w:noProof w:val="0"/>
                <w:sz w:val="28"/>
                <w:szCs w:val="28"/>
                <w:u w:val="single"/>
                <w:rtl/>
              </w:rPr>
            </w:pPr>
            <w:r>
              <w:rPr>
                <w:rFonts w:ascii="Arial" w:hAnsi="Arial"/>
                <w:b/>
                <w:bCs/>
                <w:noProof w:val="0"/>
                <w:rtl/>
              </w:rPr>
              <w:t xml:space="preserve">פסק דין זה מותר לפרסום תוך השמטת שמות הצדדים, וכל פרט מזהה אחר. </w:t>
            </w:r>
          </w:p>
        </w:tc>
      </w:tr>
    </w:tbl>
    <w:p w:rsidR="00694556" w:rsidRPr="00C770E3" w:rsidRDefault="00694556">
      <w:pPr>
        <w:spacing w:line="360" w:lineRule="auto"/>
        <w:jc w:val="both"/>
        <w:rPr>
          <w:rFonts w:ascii="Arial" w:hAnsi="Arial"/>
          <w:noProof w:val="0"/>
          <w:rtl/>
        </w:rPr>
      </w:pPr>
      <w:bookmarkStart w:id="0" w:name="NGCSBookmark"/>
      <w:bookmarkEnd w:id="0"/>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מאי 2024</w:t>
          </w:r>
        </w:sdtContent>
      </w:sdt>
      <w:r w:rsidR="00005C8B">
        <w:rPr>
          <w:rFonts w:ascii="Arial" w:hAnsi="Arial"/>
          <w:noProof w:val="0"/>
          <w:rtl/>
        </w:rPr>
        <w:t>, בהעדר הצדדים.</w:t>
      </w:r>
    </w:p>
    <w:p w:rsidR="00C43648" w:rsidRDefault="00EC3AC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5792745"/>
        </w:sdtPr>
        <w:sdtEndPr/>
        <w:sdtContent>
          <w:r w:rsidR="002A1BE8">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AC6" w:rsidRDefault="00EC3AC6">
      <w:r>
        <w:separator/>
      </w:r>
    </w:p>
  </w:endnote>
  <w:endnote w:type="continuationSeparator" w:id="0">
    <w:p w:rsidR="00EC3AC6" w:rsidRDefault="00EC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D0" w:rsidRDefault="000248D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F52DA1">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F52DA1">
      <w:rPr>
        <w:rStyle w:val="ab"/>
        <w:rFonts w:ascii="David" w:hAnsi="David"/>
        <w:rtl/>
      </w:rPr>
      <w:t>6</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D0" w:rsidRDefault="000248D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AC6" w:rsidRDefault="00EC3AC6">
      <w:r>
        <w:separator/>
      </w:r>
    </w:p>
  </w:footnote>
  <w:footnote w:type="continuationSeparator" w:id="0">
    <w:p w:rsidR="00EC3AC6" w:rsidRDefault="00EC3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D0" w:rsidRDefault="000248D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2E5C0A" w:rsidRDefault="00EC3AC6" w:rsidP="002E5C0A">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33987-04-24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2E5C0A">
                <w:rPr>
                  <w:b/>
                  <w:bCs/>
                  <w:noProof w:val="0"/>
                  <w:sz w:val="26"/>
                  <w:szCs w:val="26"/>
                  <w:rtl/>
                </w:rPr>
                <w:t>מ</w:t>
              </w:r>
              <w:r w:rsidR="002E5C0A">
                <w:rPr>
                  <w:rFonts w:hint="cs"/>
                  <w:b/>
                  <w:bCs/>
                  <w:noProof w:val="0"/>
                  <w:sz w:val="26"/>
                  <w:szCs w:val="26"/>
                  <w:rtl/>
                </w:rPr>
                <w:t>'</w:t>
              </w:r>
              <w:r w:rsidR="002E5C0A">
                <w:rPr>
                  <w:b/>
                  <w:bCs/>
                  <w:noProof w:val="0"/>
                  <w:sz w:val="26"/>
                  <w:szCs w:val="26"/>
                  <w:rtl/>
                </w:rPr>
                <w:t xml:space="preserve"> נ' </w:t>
              </w:r>
              <w:r w:rsidR="002E5C0A">
                <w:rPr>
                  <w:rFonts w:hint="cs"/>
                  <w:b/>
                  <w:bCs/>
                  <w:noProof w:val="0"/>
                  <w:sz w:val="26"/>
                  <w:szCs w:val="26"/>
                  <w:rtl/>
                </w:rPr>
                <w:t>מ'</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D0" w:rsidRDefault="000248D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566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56632&amp;lt;/CaseID&amp;gt;_x000d__x000a_        &amp;lt;CaseMonth&amp;gt;4&amp;lt;/CaseMonth&amp;gt;_x000d__x000a_        &amp;lt;CaseYear&amp;gt;2024&amp;lt;/CaseYear&amp;gt;_x000d__x000a_        &amp;lt;CaseNumber&amp;gt;33987&amp;lt;/CaseNumber&amp;gt;_x000d__x000a_        &amp;lt;NumeratorGroupID&amp;gt;1&amp;lt;/NumeratorGroupID&amp;gt;_x000d__x000a_        &amp;lt;CaseName&amp;gt;מייטליס נ&amp;#39; חן מייטליס&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3987-04-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 /&amp;gt;_x000d__x000a_        &amp;lt;CaseOpenDate&amp;gt;2024-04-14T19:5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56632&amp;lt;/CaseID&amp;gt;_x000d__x000a_        &amp;lt;CaseMonth&amp;gt;4&amp;lt;/CaseMonth&amp;gt;_x000d__x000a_        &amp;lt;CaseYear&amp;gt;2024&amp;lt;/CaseYear&amp;gt;_x000d__x000a_        &amp;lt;CaseNumber&amp;gt;33987&amp;lt;/CaseNumber&amp;gt;_x000d__x000a_        &amp;lt;NumeratorGroupID&amp;gt;1&amp;lt;/NumeratorGroupID&amp;gt;_x000d__x000a_        &amp;lt;CaseName&amp;gt;מייטליס נ&amp;#39; חן מייטליס&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3987-04-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4-14T19:5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02T15:27:21.9795874+03:00&amp;lt;/DecisionStatusChangeDate&amp;gt;_x000d__x000a_        &amp;lt;DecisionSignatureDate&amp;gt;2024-05-02T15:27:21.9795874+03:00&amp;lt;/DecisionSignatureDate&amp;gt;_x000d__x000a_        &amp;lt;DecisionSignatureUserID&amp;gt;056479827@GOV.IL&amp;lt;/DecisionSignatureUserID&amp;gt;_x000d__x000a_        &amp;lt;DecisionCreateDate&amp;gt;2024-05-02T15:27:21.9795874+03:00&amp;lt;/DecisionCreateDate&amp;gt;_x000d__x000a_        &amp;lt;DecisionChangeDate&amp;gt;2024-05-02T15:27:21.9795874+03:00&amp;lt;/DecisionChangeDate&amp;gt;_x000d__x000a_        &amp;lt;DecisionChangeUserID&amp;gt;0564798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47982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5663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
    <w:docVar w:name="NGCS.TemplateCaseTypeID" w:val="10074"/>
    <w:docVar w:name="NGCS.TemplateCategoryID" w:val="80"/>
    <w:docVar w:name="NGCS.TemplateCourtID" w:val="13"/>
    <w:docVar w:name="NGCS.TemplateProceedingID" w:val="14"/>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248D0"/>
    <w:rsid w:val="00034D9A"/>
    <w:rsid w:val="000529D2"/>
    <w:rsid w:val="000564AB"/>
    <w:rsid w:val="00064FBD"/>
    <w:rsid w:val="00082AB2"/>
    <w:rsid w:val="000906FE"/>
    <w:rsid w:val="00096AF7"/>
    <w:rsid w:val="000B344B"/>
    <w:rsid w:val="000C1BFC"/>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F30B2"/>
    <w:rsid w:val="0022291B"/>
    <w:rsid w:val="002265FF"/>
    <w:rsid w:val="00271B56"/>
    <w:rsid w:val="00272E32"/>
    <w:rsid w:val="002A1BE8"/>
    <w:rsid w:val="002C344E"/>
    <w:rsid w:val="002E5C0A"/>
    <w:rsid w:val="002E75E9"/>
    <w:rsid w:val="002F0B1E"/>
    <w:rsid w:val="00307A6A"/>
    <w:rsid w:val="00307C40"/>
    <w:rsid w:val="00320433"/>
    <w:rsid w:val="003230C7"/>
    <w:rsid w:val="00327E50"/>
    <w:rsid w:val="0033597A"/>
    <w:rsid w:val="00343D89"/>
    <w:rsid w:val="00362612"/>
    <w:rsid w:val="0036743F"/>
    <w:rsid w:val="003715DD"/>
    <w:rsid w:val="00372CCD"/>
    <w:rsid w:val="003823E0"/>
    <w:rsid w:val="003A4521"/>
    <w:rsid w:val="003D1C8C"/>
    <w:rsid w:val="003E38C7"/>
    <w:rsid w:val="003F719F"/>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4064"/>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2754"/>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3FB9"/>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0AFD"/>
    <w:rsid w:val="00E25884"/>
    <w:rsid w:val="00E25B55"/>
    <w:rsid w:val="00E31C2B"/>
    <w:rsid w:val="00E5426A"/>
    <w:rsid w:val="00E54642"/>
    <w:rsid w:val="00E80CBE"/>
    <w:rsid w:val="00E9269D"/>
    <w:rsid w:val="00E962E3"/>
    <w:rsid w:val="00EB6C79"/>
    <w:rsid w:val="00EC37E9"/>
    <w:rsid w:val="00EC3AC6"/>
    <w:rsid w:val="00F038D8"/>
    <w:rsid w:val="00F06995"/>
    <w:rsid w:val="00F12D66"/>
    <w:rsid w:val="00F13623"/>
    <w:rsid w:val="00F44D1D"/>
    <w:rsid w:val="00F52DA1"/>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4838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8D63B9"/>
    <w:rsid w:val="009133C7"/>
    <w:rsid w:val="009178E4"/>
    <w:rsid w:val="00961B27"/>
    <w:rsid w:val="009A4BEE"/>
    <w:rsid w:val="00A51CA1"/>
    <w:rsid w:val="00AA7CE3"/>
    <w:rsid w:val="00AD53D7"/>
    <w:rsid w:val="00B50DB2"/>
    <w:rsid w:val="00B91FA3"/>
    <w:rsid w:val="00BE6557"/>
    <w:rsid w:val="00C96C06"/>
    <w:rsid w:val="00CE1DCB"/>
    <w:rsid w:val="00D24521"/>
    <w:rsid w:val="00DE2FC9"/>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ירון מייטליס</FullName>
        <FirstName>ירון דוד</FirstName>
        <LastName>מייטלס</LastName>
        <PartyPropertyName/>
        <AuthenticationTypeAndNumber>ת"ז 031471600</AuthenticationTypeAndNumber>
        <RepresentatedOrRepresentativesNames>ליאור קיבריק</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269057025</CasePartyID>
        <PartyTypeID>1</PartyTypeID>
        <ActivityStatusID>1</ActivityStatusID>
        <PartyAliasID>3</PartyAliasID>
        <PartyAliasName>מבקש</PartyAliasName>
        <OrdinalNumber>1</OrdinalNumber>
        <LegalEntityID>81495247</LegalEntityID>
        <CaseLegalEntityID>128549364</CaseLegalEntityID>
        <AuthenticationTypeID>1</AuthenticationTypeID>
        <AuthenticationTypeName>ת"ז</AuthenticationTypeName>
        <LegalEntityNumber>031471600</LegalEntityNumber>
        <IsMainPartyType>true</IsMainPartyType>
        <CaseDisplayIdentifier>33987-04-24</CaseDisplayIdentifier>
        <CaseTypeID>10074</CaseTypeID>
        <CaseTypeName>רשות ערעור משפחה (רמ"ש)</CaseTypeName>
        <CaseName>מייטליס נ' חן מייטליס</CaseName>
        <FullAddress>החליל 2 הרצלייה </FullAddress>
        <MotionID>0</MotionID>
        <CasePleaID>0</CasePleaID>
        <FatherName>גדעון</FatherName>
        <LinkedCaseID>0</LinkedCaseID>
        <PartyID>1</PartyID>
        <CasePartyCategoryID>2</CasePartyCategoryID>
        <LegalEntityAddressID>88779581</LegalEntityAddressID>
        <PleaTypeID>5</PleaTypeID>
        <GroupPartyAlias>מבקשים</GroupPartyAlias>
        <IsConverted>false</IsConverted>
        <LegalEntityRegisteredNameID>10513062</LegalEntityRegisteredNameID>
        <LegalEntityNameID>95928523</LegalEntityNameID>
        <RepresentatedNamesOfAssistant/>
        <LegalEntityTypeID>1</LegalEntityTypeID>
        <IsVerdictExists>false</IsVerdictExists>
        <IsAsirAzir>false</IsAsirAzir>
        <IsPublicationProhibited>false</IsPublicationProhibited>
        <PublicationProhibitedFullName>ירון מייטליס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 קיבריק</FullName>
        <FirstName>ליאור</FirstName>
        <LastName>קיבריק</LastName>
        <PartyPropertyName/>
        <AuthenticationTypeAndNumber>מ.ר. 65823</AuthenticationTypeAndNumber>
        <RepresentatedOrRepresentativesNames>ירון מייטליס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269057027</CasePartyID>
        <PartyTypeID>2</PartyTypeID>
        <ActivityStatusID>1</ActivityStatusID>
        <PartyAliasID>22</PartyAliasID>
        <PartyAliasName>בא כוח מבקשים</PartyAliasName>
        <OrdinalNumber>1</OrdinalNumber>
        <LegalEntityID>81807755</LegalEntityID>
        <CaseLegalEntityID>128549366</CaseLegalEntityID>
        <AuthenticationTypeID>4</AuthenticationTypeID>
        <AuthenticationTypeName>מ.ר.</AuthenticationTypeName>
        <LegalEntityNumber>65823</LegalEntityNumber>
        <IsMainPartyType>true</IsMainPartyType>
        <CaseDisplayIdentifier>33987-04-24</CaseDisplayIdentifier>
        <CaseTypeID>10074</CaseTypeID>
        <CaseTypeName>רשות ערעור משפחה (רמ"ש)</CaseTypeName>
        <CaseName>מייטליס נ' חן מייטליס</CaseName>
        <FullAddress>בילינסון 1 הרצלייה </FullAddress>
        <EmailAddress>kibriklior@gmail.com</EmailAddress>
        <MotionID>0</MotionID>
        <CasePleaID>0</CasePleaID>
        <LinkedCaseID>0</LinkedCaseID>
        <PartyID>1</PartyID>
        <CasePartyCategoryID>2</CasePartyCategoryID>
        <LegalEntityAddressID>89109316</LegalEntityAddressID>
        <LegalEntityEmailAddressID>68367823</LegalEntityEmailAddressID>
        <PleaTypeID>5</PleaTypeID>
        <LawyerOfficeName>משרד עו"ד ליאור קיבריק</LawyerOfficeName>
        <LawyerOfficeID>81807756</LawyerOfficeID>
        <GroupPartyAlias/>
        <IsConverted>false</IsConverted>
        <LegalEntityNameID>96331989</LegalEntityNameID>
        <RepresentatedNamesOfAssistant/>
        <LegalEntityTypeID>4</LegalEntityTypeID>
        <IsVerdictExists>false</IsVerdictExists>
        <IsAsirAzir>false</IsAsirAzir>
        <IsPublicationProhibited>false</IsPublicationProhibited>
        <PublicationProhibitedFullName>ליאור קיבריק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מאיה הר ציון אטיאס</FullName>
        <FirstName>מאיה</FirstName>
        <LastName>הר ציון אטיאס</LastName>
        <PartyPropertyName/>
        <AuthenticationTypeAndNumber>מ.ר. 38787</AuthenticationTypeAndNumber>
        <RepresentatedOrRepresentativesNames>אייל מנחם חן מייטליס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269057028</CasePartyID>
        <PartyTypeID>2</PartyTypeID>
        <ActivityStatusID>1</ActivityStatusID>
        <PartyAliasID>23</PartyAliasID>
        <PartyAliasName>בא כוח משיבים</PartyAliasName>
        <OrdinalNumber>1</OrdinalNumber>
        <LegalEntityID>413328</LegalEntityID>
        <CaseLegalEntityID>128549367</CaseLegalEntityID>
        <AuthenticationTypeID>4</AuthenticationTypeID>
        <AuthenticationTypeName>מ.ר.</AuthenticationTypeName>
        <LegalEntityNumber>38787</LegalEntityNumber>
        <IsMainPartyType>true</IsMainPartyType>
        <CaseDisplayIdentifier>33987-04-24</CaseDisplayIdentifier>
        <CaseTypeID>10074</CaseTypeID>
        <CaseTypeName>רשות ערעור משפחה (רמ"ש)</CaseTypeName>
        <CaseName>מייטליס נ' חן מייטליס</CaseName>
        <FullAddress>הצפצפה 10 רמת ישי בניין AD סנטר, ת.ד 10075 אזור התעשייה</FullAddress>
        <MotionID>0</MotionID>
        <CasePleaID>0</CasePleaID>
        <LinkedCaseID>0</LinkedCaseID>
        <PartyID>2</PartyID>
        <CasePartyCategoryID>2</CasePartyCategoryID>
        <LegalEntityAddressID>76238666</LegalEntityAddressID>
        <PleaTypeID>5</PleaTypeID>
        <LawyerOfficeName>משרד עו"ד: מאיה הר ציון אטיאס</LawyerOfficeName>
        <LawyerOfficeID>453972</LawyerOfficeID>
        <GroupPartyAlias/>
        <IsConverted>false</IsConverted>
        <LegalEntityNameID>71409695</LegalEntityNameID>
        <RepresentatedNamesOfAssistant/>
        <LegalEntityTypeID>4</LegalEntityTypeID>
        <IsVerdictExists>false</IsVerdictExists>
        <IsAsirAzir>false</IsAsirAzir>
        <IsPublicationProhibited>false</IsPublicationProhibited>
        <PublicationProhibitedFullName>מאיה הר ציון אטיאס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אייל מנחם חן מייטליס</FullName>
        <FirstName>אייל מנחם</FirstName>
        <LastName>חן</LastName>
        <PartyPropertyName/>
        <AuthenticationTypeAndNumber>ת"ז 028626851</AuthenticationTypeAndNumber>
        <RepresentatedOrRepresentativesNames>מאיה הר ציון אטיאס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269057026</CasePartyID>
        <PartyTypeID>1</PartyTypeID>
        <ActivityStatusID>1</ActivityStatusID>
        <PartyAliasID>4</PartyAliasID>
        <PartyAliasName>משיב</PartyAliasName>
        <OrdinalNumber>1</OrdinalNumber>
        <LegalEntityID>57360601</LegalEntityID>
        <CaseLegalEntityID>128549365</CaseLegalEntityID>
        <AuthenticationTypeID>1</AuthenticationTypeID>
        <AuthenticationTypeName>ת"ז</AuthenticationTypeName>
        <LegalEntityNumber>028626851</LegalEntityNumber>
        <IsMainPartyType>true</IsMainPartyType>
        <CaseDisplayIdentifier>33987-04-24</CaseDisplayIdentifier>
        <CaseTypeID>10074</CaseTypeID>
        <CaseTypeName>רשות ערעור משפחה (רמ"ש)</CaseTypeName>
        <CaseName>מייטליס נ' חן מייטליס</CaseName>
        <FullAddress>השמש 61 קיסריה </FullAddress>
        <MotionID>0</MotionID>
        <CasePleaID>0</CasePleaID>
        <FatherName>כליפא ציון</FatherName>
        <LinkedCaseID>0</LinkedCaseID>
        <PartyID>2</PartyID>
        <CasePartyCategoryID>2</CasePartyCategoryID>
        <LegalEntityAddressID>88481678</LegalEntityAddressID>
        <PleaTypeID>5</PleaTypeID>
        <GroupPartyAlias>משיבים</GroupPartyAlias>
        <IsConverted>false</IsConverted>
        <LegalEntityRegisteredNameID>9512022</LegalEntityRegisteredNameID>
        <LegalEntityNameID>95562826</LegalEntityNameID>
        <RepresentatedNamesOfAssistant/>
        <LegalEntityTypeID>1</LegalEntityTypeID>
        <IsVerdictExists>false</IsVerdictExists>
        <IsAsirAzir>false</IsAsirAzir>
        <IsPublicationProhibited>false</IsPublicationProhibited>
        <PublicationProhibitedFullName>אייל מנחם חן מייטליס</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2024-05-02T15:27:21.9795874+03:00</DecisionSignatureDate>
    <OpenCaseDate>2024-04-14T19:50:00+03:00</OpenCaseDate>
    <CaseFeeSum>0.000</CaseFeeSum>
    <DecisionTypeID>2</DecisionTypeID>
    <DecisionSignatureUserName>חננאל שרעבי</DecisionSignatureUserName>
    <DecisionSignatureDateHebrew>2024-05-02T15:27:21.9795874+03:00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מייטליס נ' חן מייטליס</CaseName>
    <DecisionNumberInCase>4</DecisionNumberInCase>
  </dt_Decision>
  <dt_DecisionCase>
    <DecisionID>0</DecisionID>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ירון מייטליס</FullName>
        <FirstName>ירון דוד</FirstName>
        <LastName>מייטלס</LastName>
        <PartyPropertyName/>
        <AuthenticationTypeAndNumber>ת"ז 031471600</AuthenticationTypeAndNumber>
        <RepresentatedOrRepresentativesNames>ליאור קיבריק</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269057025</CasePartyID>
        <PartyTypeID>1</PartyTypeID>
        <ActivityStatusID>1</ActivityStatusID>
        <PartyAliasID>3</PartyAliasID>
        <PartyAliasName>מבקש</PartyAliasName>
        <OrdinalNumber>1</OrdinalNumber>
        <LegalEntityID>81495247</LegalEntityID>
        <CaseLegalEntityID>128549364</CaseLegalEntityID>
        <AuthenticationTypeID>1</AuthenticationTypeID>
        <AuthenticationTypeName>ת"ז</AuthenticationTypeName>
        <LegalEntityNumber>031471600</LegalEntityNumber>
        <IsMainPartyType>true</IsMainPartyType>
        <CaseDisplayIdentifier>33987-04-24</CaseDisplayIdentifier>
        <CaseTypeID>10074</CaseTypeID>
        <CaseTypeName>רשות ערעור משפחה (רמ"ש)</CaseTypeName>
        <CaseName>מייטליס נ' חן מייטליס</CaseName>
        <FullAddress>החליל 2 הרצלייה </FullAddress>
        <MotionID>0</MotionID>
        <CasePleaID>0</CasePleaID>
        <FatherName>גדעון</FatherName>
        <LinkedCaseID>0</LinkedCaseID>
        <PartyID>1</PartyID>
        <CasePartyCategoryID>2</CasePartyCategoryID>
        <LegalEntityAddressID>88779581</LegalEntityAddressID>
        <PleaTypeID>5</PleaTypeID>
        <GroupPartyAlias>מבקשים</GroupPartyAlias>
        <IsConverted>false</IsConverted>
        <LegalEntityRegisteredNameID>10513062</LegalEntityRegisteredNameID>
        <LegalEntityNameID>95928523</LegalEntityNameID>
        <RepresentatedNamesOfAssistant/>
        <LegalEntityTypeID>1</LegalEntityTypeID>
        <IsVerdictExists>false</IsVerdictExists>
        <IsAsirAzir>false</IsAsirAzir>
        <IsPublicationProhibited>false</IsPublicationProhibited>
        <PublicationProhibitedFullName>ירון מייטליס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 קיבריק</FullName>
        <FirstName>ליאור</FirstName>
        <LastName>קיבריק</LastName>
        <PartyPropertyName/>
        <AuthenticationTypeAndNumber>מ.ר. 65823</AuthenticationTypeAndNumber>
        <RepresentatedOrRepresentativesNames>ירון מייטליס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269057027</CasePartyID>
        <PartyTypeID>2</PartyTypeID>
        <ActivityStatusID>1</ActivityStatusID>
        <PartyAliasID>22</PartyAliasID>
        <PartyAliasName>בא כוח מבקשים</PartyAliasName>
        <OrdinalNumber>1</OrdinalNumber>
        <LegalEntityID>81807755</LegalEntityID>
        <CaseLegalEntityID>128549366</CaseLegalEntityID>
        <AuthenticationTypeID>4</AuthenticationTypeID>
        <AuthenticationTypeName>מ.ר.</AuthenticationTypeName>
        <LegalEntityNumber>65823</LegalEntityNumber>
        <IsMainPartyType>true</IsMainPartyType>
        <CaseDisplayIdentifier>33987-04-24</CaseDisplayIdentifier>
        <CaseTypeID>10074</CaseTypeID>
        <CaseTypeName>רשות ערעור משפחה (רמ"ש)</CaseTypeName>
        <CaseName>מייטליס נ' חן מייטליס</CaseName>
        <FullAddress>בילינסון 1 הרצלייה </FullAddress>
        <EmailAddress>kibriklior@gmail.com</EmailAddress>
        <MotionID>0</MotionID>
        <CasePleaID>0</CasePleaID>
        <LinkedCaseID>0</LinkedCaseID>
        <PartyID>1</PartyID>
        <CasePartyCategoryID>2</CasePartyCategoryID>
        <LegalEntityAddressID>89109316</LegalEntityAddressID>
        <LegalEntityEmailAddressID>68367823</LegalEntityEmailAddressID>
        <PleaTypeID>5</PleaTypeID>
        <LawyerOfficeName>משרד עו"ד ליאור קיבריק</LawyerOfficeName>
        <LawyerOfficeID>81807756</LawyerOfficeID>
        <GroupPartyAlias/>
        <IsConverted>false</IsConverted>
        <LegalEntityNameID>96331989</LegalEntityNameID>
        <RepresentatedNamesOfAssistant/>
        <LegalEntityTypeID>4</LegalEntityTypeID>
        <IsVerdictExists>false</IsVerdictExists>
        <IsAsirAzir>false</IsAsirAzir>
        <IsPublicationProhibited>false</IsPublicationProhibited>
        <PublicationProhibitedFullName>ליאור קיבריק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מאיה הר ציון אטיאס</FullName>
        <FirstName>מאיה</FirstName>
        <LastName>הר ציון אטיאס</LastName>
        <PartyPropertyName/>
        <AuthenticationTypeAndNumber>מ.ר. 38787</AuthenticationTypeAndNumber>
        <RepresentatedOrRepresentativesNames>אייל מנחם חן מייטליס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269057028</CasePartyID>
        <PartyTypeID>2</PartyTypeID>
        <ActivityStatusID>1</ActivityStatusID>
        <PartyAliasID>23</PartyAliasID>
        <PartyAliasName>בא כוח משיבים</PartyAliasName>
        <OrdinalNumber>1</OrdinalNumber>
        <LegalEntityID>413328</LegalEntityID>
        <CaseLegalEntityID>128549367</CaseLegalEntityID>
        <AuthenticationTypeID>4</AuthenticationTypeID>
        <AuthenticationTypeName>מ.ר.</AuthenticationTypeName>
        <LegalEntityNumber>38787</LegalEntityNumber>
        <IsMainPartyType>true</IsMainPartyType>
        <CaseDisplayIdentifier>33987-04-24</CaseDisplayIdentifier>
        <CaseTypeID>10074</CaseTypeID>
        <CaseTypeName>רשות ערעור משפחה (רמ"ש)</CaseTypeName>
        <CaseName>מייטליס נ' חן מייטליס</CaseName>
        <FullAddress>הצפצפה 10 רמת ישי בניין AD סנטר, ת.ד 10075 אזור התעשייה</FullAddress>
        <MotionID>0</MotionID>
        <CasePleaID>0</CasePleaID>
        <LinkedCaseID>0</LinkedCaseID>
        <PartyID>2</PartyID>
        <CasePartyCategoryID>2</CasePartyCategoryID>
        <LegalEntityAddressID>76238666</LegalEntityAddressID>
        <PleaTypeID>5</PleaTypeID>
        <LawyerOfficeName>משרד עו"ד: מאיה הר ציון אטיאס</LawyerOfficeName>
        <LawyerOfficeID>453972</LawyerOfficeID>
        <GroupPartyAlias/>
        <IsConverted>false</IsConverted>
        <LegalEntityNameID>71409695</LegalEntityNameID>
        <RepresentatedNamesOfAssistant/>
        <LegalEntityTypeID>4</LegalEntityTypeID>
        <IsVerdictExists>false</IsVerdictExists>
        <IsAsirAzir>false</IsAsirAzir>
        <IsPublicationProhibited>false</IsPublicationProhibited>
        <PublicationProhibitedFullName>מאיה הר ציון אטיאס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אייל מנחם חן מייטליס</FullName>
        <FirstName>אייל מנחם</FirstName>
        <LastName>חן</LastName>
        <PartyPropertyName/>
        <AuthenticationTypeAndNumber>ת"ז 028626851</AuthenticationTypeAndNumber>
        <RepresentatedOrRepresentativesNames>מאיה הר ציון אטיאס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269057026</CasePartyID>
        <PartyTypeID>1</PartyTypeID>
        <ActivityStatusID>1</ActivityStatusID>
        <PartyAliasID>4</PartyAliasID>
        <PartyAliasName>משיב</PartyAliasName>
        <OrdinalNumber>1</OrdinalNumber>
        <LegalEntityID>57360601</LegalEntityID>
        <CaseLegalEntityID>128549365</CaseLegalEntityID>
        <AuthenticationTypeID>1</AuthenticationTypeID>
        <AuthenticationTypeName>ת"ז</AuthenticationTypeName>
        <LegalEntityNumber>028626851</LegalEntityNumber>
        <IsMainPartyType>true</IsMainPartyType>
        <CaseDisplayIdentifier>33987-04-24</CaseDisplayIdentifier>
        <CaseTypeID>10074</CaseTypeID>
        <CaseTypeName>רשות ערעור משפחה (רמ"ש)</CaseTypeName>
        <CaseName>מייטליס נ' חן מייטליס</CaseName>
        <FullAddress>השמש 61 קיסריה </FullAddress>
        <MotionID>0</MotionID>
        <CasePleaID>0</CasePleaID>
        <FatherName>כליפא ציון</FatherName>
        <LinkedCaseID>0</LinkedCaseID>
        <PartyID>2</PartyID>
        <CasePartyCategoryID>2</CasePartyCategoryID>
        <LegalEntityAddressID>88481678</LegalEntityAddressID>
        <PleaTypeID>5</PleaTypeID>
        <GroupPartyAlias>משיבים</GroupPartyAlias>
        <IsConverted>false</IsConverted>
        <LegalEntityRegisteredNameID>9512022</LegalEntityRegisteredNameID>
        <LegalEntityNameID>95562826</LegalEntityNameID>
        <RepresentatedNamesOfAssistant/>
        <LegalEntityTypeID>1</LegalEntityTypeID>
        <IsVerdictExists>false</IsVerdictExists>
        <IsAsirAzir>false</IsAsirAzir>
        <IsPublicationProhibited>false</IsPublicationProhibited>
        <PublicationProhibitedFullName>אייל מנחם חן מייטליס</PublicationProhibitedFullName>
      </CaseParties>
    </CasePartiesSelectionDS>
    <CaseName>מייטליס נ' חן מייטליס</CaseName>
    <CaseDisplayIdentifier>33987-04-24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החליל 2</StreetName>
    <CityName>הרצלייה</CityName>
    <FullName>ירון מייטליס</FullName>
    <IsPublicationProhibited>false</IsPublicationProhibited>
  </dt_LegalEntityDetails>
  <dt_LegalEntityDetails>
    <PartyID>2</PartyID>
    <PartyTypeID>1</PartyTypeID>
    <DecisionID>0</DecisionID>
    <StreetName>השמש 61</StreetName>
    <CityName>קיסריה</CityName>
    <FullName>אייל מנחם  חן מייטליס</FullName>
    <IsPublicationProhibited>false</IsPublicationProhibited>
  </dt_LegalEntityDetails>
  <dt_LegalEntityDetails>
    <Phone>050-8580893</Phone>
    <PartyID>1</PartyID>
    <PartyTypeID>2</PartyTypeID>
    <DecisionID>0</DecisionID>
    <StreetName>בילינסון 1</StreetName>
    <ZipCode>44401</ZipCode>
    <CityName>הרצלייה</CityName>
    <FullName>ליאור קיבריק</FullName>
    <Email>kibriklior@gmail.com</Email>
    <IsPublicationProhibited>false</IsPublicationProhibited>
  </dt_LegalEntityDetails>
  <dt_LegalEntityDetails>
    <Fax>04-9533352</Fax>
    <Phone>04-8215545</Phone>
    <AddressDesc>בניין AD סנטר, ת.ד 10075 אזור התעשייה</AddressDesc>
    <PartyID>2</PartyID>
    <PartyTypeID>2</PartyTypeID>
    <DecisionID>0</DecisionID>
    <StreetName>הצפצפה 10</StreetName>
    <ZipCode>3009500</ZipCode>
    <CityName>רמת ישי</CityName>
    <FullName>מאיה הר ציון אטיאס</FullName>
    <Email>maya.hatias@gmail.com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6F3B0-D15C-4C64-A369-882DB8F79D55}">
  <ds:schemaRefs/>
</ds:datastoreItem>
</file>

<file path=customXml/itemProps2.xml><?xml version="1.0" encoding="utf-8"?>
<ds:datastoreItem xmlns:ds="http://schemas.openxmlformats.org/officeDocument/2006/customXml" ds:itemID="{F640955D-20E6-4AFA-A6A3-E77F4128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1518</Words>
  <Characters>7590</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2024-05-09T07:46:00Z</dcterms:created>
  <dcterms:modified xsi:type="dcterms:W3CDTF">2024-05-09T07:46:00Z</dcterms:modified>
</cp:coreProperties>
</file>